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携程集团有限公司（Trip.com Group Limited） (09961)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行业：在线旅行平台（OTA）及综合旅游服务</w:t>
      </w:r>
    </w:p>
    <w:p>
      <w:pPr>
        <w:jc w:val="center"/>
      </w:pPr>
      <w:r>
        <w:rPr>
          <w:color w:val="595959"/>
          <w:sz w:val="22"/>
          <w:szCs w:val="22"/>
        </w:rPr>
        <w:t xml:space="preserve">报告日期：2026年9月13日</w:t>
      </w:r>
    </w:p>
    <w:p>
      <w:pPr>
        <w:jc w:val="center"/>
      </w:pPr>
      <w:r>
        <w:rPr>
          <w:color w:val="595959"/>
          <w:sz w:val="20"/>
          <w:szCs w:val="20"/>
        </w:rPr>
        <w:t xml:space="preserve">数据截至2026年9月11日港股收盘；部分报价至少延迟15分钟，技术指标由第三方平台按不同口径计算。</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携程集团（09961.HK）2025年实现净营业收入约人民币624.09亿元，同比增长约16.9%；归属于股东的净利润约人民币332.94亿元，同比增长约95.1%。其中住宿预订收入约人民币261亿元、交通票务收入约人民币225亿元，合计约占总收入78%，住宿业务同比增长21%，是收入结构和增长质量的重要支撑。但2025年净利润大幅增长部分受投资收益、公允价值变动及联营公司收益等波动性项目影响，约53.4%的净利率不宜视为主营业务常态水平。</w:t>
      </w:r>
    </w:p>
    <w:p>
      <w:pPr>
        <w:spacing w:after="160" w:line="300"/>
      </w:pPr>
      <w:r>
        <w:rPr>
          <w:sz w:val="22"/>
          <w:szCs w:val="22"/>
        </w:rPr>
        <w:t xml:space="preserve">2026年第一季度收入约人民币162.94亿元，同比增长17%，住宿预订、交通票务、旅游度假及商旅管理收入分别约人民币65亿元、61亿元、11亿元及人民币6.9亿元；但归母GAAP净利润约人民币24.99亿元，同比下降约42%，非美国通用会计准则归母净利润约人民币39.05亿元，同比下降约6.8%，经调整EBITDA约人民币48.30亿元，同比增长约13.7%。公司此前对2026年第二季度收入增长的初步展望为同比增长3%至8%，低于第一季度增速，第二季度及上半年正式业绩将于2026年9月16日香港时间港股开市前公布。</w:t>
      </w:r>
    </w:p>
    <w:p>
      <w:pPr>
        <w:spacing w:after="160" w:line="300"/>
      </w:pPr>
      <w:r>
        <w:rPr>
          <w:sz w:val="22"/>
          <w:szCs w:val="22"/>
        </w:rPr>
        <w:t xml:space="preserve">公司拥有携程、去哪儿、Trip.com及天巡等品牌，截至2025年末覆盖约170万个全球住宿房源、超过680家航空公司及超过60,000个其他生态合作伙伴，交通网络覆盖超过220个国家和地区。平台模式具备轻资产、高毛利和规模效应特征，国际业务、住宿及目的地活动占比提升、技术与人工智能改善转化效率，构成中长期增长逻辑；但航空公司、大型酒店集团、飞猪、美团、同程及内容平台均可能通过直销或流量入口加剧竞争。</w:t>
      </w:r>
    </w:p>
    <w:p>
      <w:pPr>
        <w:spacing w:after="160" w:line="300"/>
      </w:pPr>
      <w:r>
        <w:rPr>
          <w:sz w:val="22"/>
          <w:szCs w:val="22"/>
        </w:rPr>
        <w:t xml:space="preserve">截至2026年9月11日，股价收于305.80港元，较9月1日收盘价349.00港元下跌约12.4%，接近52周低位299.20港元及估算布林下轨约305.7港元。RSI约26、Williams %R接近超卖，显示短线存在技术性反弹条件；但股价仍低于多组均线，MACD为负、ADX约35至38，且9月10日至11日沽空成交占比约48%至50%，整体仍处于明显弱势下行后的超卖状态。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1999年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上市情况</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香港联交所上市，股票代码09961；同时在纳斯达克以TCOM交易</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主要品牌</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携程（Ctrip）、去哪儿（Qunar）、Trip.com、天巡（Skyscanner）</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一站式全球旅行服务平台，向休闲及商务旅客提供住宿预订、交通票务、旅游度假、商旅管理及其他旅行相关服务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2025年净营业收入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约人民币624亿元，同比增长17%；金额采用公司披露口径，未换算为港元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2025年收入结构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住宿预订人民币261亿元、交通票务人民币225亿元、旅游度假人民币47亿元、商旅管理人民币28亿元，其他业务约占10%；住宿预订和交通票务合计约占78%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平台供给规模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截至2025年末，约170万个全球住宿房源、超过680家航空公司及超过60,000个其他生态合作伙伴，交通网络覆盖超过220个国家和地区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财务数据截至</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主要截至2025年12月31日；2025年年报于2026年4月28日刊发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金额及计价货币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财务及经营金额原则上为人民币（RMB）；股票价格计价货币为港元（HKD）。本纪要未进行人民币与港元换算</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住宿预订：2025年收入人民币261亿元，占总收入约42%，同比增长21%</w:t>
      </w:r>
    </w:p>
    <w:p>
      <w:pPr>
        <w:pStyle w:val="ListParagraph"/>
        <w:numPr>
          <w:ilvl w:val="0"/>
          <w:numId w:val="2"/>
        </w:numPr>
        <w:spacing w:after="80" w:line="280"/>
      </w:pPr>
      <w:r>
        <w:rPr>
          <w:sz w:val="22"/>
          <w:szCs w:val="22"/>
        </w:rPr>
        <w:t xml:space="preserve">交通票务：2025年收入人民币225亿元，占总收入约36%，同比增长11%</w:t>
      </w:r>
    </w:p>
    <w:p>
      <w:pPr>
        <w:pStyle w:val="ListParagraph"/>
        <w:numPr>
          <w:ilvl w:val="0"/>
          <w:numId w:val="2"/>
        </w:numPr>
        <w:spacing w:after="80" w:line="280"/>
      </w:pPr>
      <w:r>
        <w:rPr>
          <w:sz w:val="22"/>
          <w:szCs w:val="22"/>
        </w:rPr>
        <w:t xml:space="preserve">旅游度假：2025年收入人民币47亿元，占总收入约7%，同比增长8%</w:t>
      </w:r>
    </w:p>
    <w:p>
      <w:pPr>
        <w:pStyle w:val="ListParagraph"/>
        <w:numPr>
          <w:ilvl w:val="0"/>
          <w:numId w:val="2"/>
        </w:numPr>
        <w:spacing w:after="80" w:line="280"/>
      </w:pPr>
      <w:r>
        <w:rPr>
          <w:sz w:val="22"/>
          <w:szCs w:val="22"/>
        </w:rPr>
        <w:t xml:space="preserve">商旅管理：2025年收入人民币28亿元，占总收入约5%，同比增长13%</w:t>
      </w:r>
    </w:p>
    <w:p>
      <w:pPr>
        <w:pStyle w:val="ListParagraph"/>
        <w:numPr>
          <w:ilvl w:val="0"/>
          <w:numId w:val="2"/>
        </w:numPr>
        <w:spacing w:after="80" w:line="280"/>
      </w:pPr>
      <w:r>
        <w:rPr>
          <w:sz w:val="22"/>
          <w:szCs w:val="22"/>
        </w:rPr>
        <w:t xml:space="preserve">其他业务：约占总收入10%，包括在线广告、金融服务及其他旅行相关服务</w:t>
      </w:r>
    </w:p>
    <w:p>
      <w:pPr>
        <w:pStyle w:val="ListParagraph"/>
        <w:numPr>
          <w:ilvl w:val="0"/>
          <w:numId w:val="2"/>
        </w:numPr>
        <w:spacing w:after="80" w:line="280"/>
      </w:pPr>
      <w:r>
        <w:rPr>
          <w:sz w:val="22"/>
          <w:szCs w:val="22"/>
        </w:rPr>
        <w:t xml:space="preserve">平台模式：以平台撮合、交易服务、技术及流量分发为主，绝大多数交易中以代理人身份运营，收入主要按佣金、服务费或推荐费净额确认，而非按旅客支付的全部交易金额确认</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携程位于旅游产业链中游偏平台和分发环节，连接酒店、航空公司、铁路及其他旅行服务供应商与个人旅客、企业客户及广告客户。公司不拥有酒店房间、机队或旅游产品存货，核心资源是品牌、流量、供应商网络、技术系统、数据、客服体系和企业客户关系。</w:t>
      </w:r>
    </w:p>
    <w:p>
      <w:pPr>
        <w:pStyle w:val="ListParagraph"/>
        <w:numPr>
          <w:ilvl w:val="0"/>
          <w:numId w:val="2"/>
        </w:numPr>
        <w:spacing w:after="80" w:line="280"/>
      </w:pPr>
      <w:r>
        <w:rPr>
          <w:sz w:val="22"/>
          <w:szCs w:val="22"/>
        </w:rPr>
        <w:t xml:space="preserve">实际供给方包括酒店及其他住宿供应商、航空公司、铁路及长途客运运营商、租车公司、渡轮及巴士运营商、目的地活动供应商、旅行社、保险公司及其他增值服务商。</w:t>
      </w:r>
    </w:p>
    <w:p>
      <w:pPr>
        <w:pStyle w:val="ListParagraph"/>
        <w:numPr>
          <w:ilvl w:val="0"/>
          <w:numId w:val="2"/>
        </w:numPr>
        <w:spacing w:after="80" w:line="280"/>
      </w:pPr>
      <w:r>
        <w:rPr>
          <w:sz w:val="22"/>
          <w:szCs w:val="22"/>
        </w:rPr>
        <w:t xml:space="preserve">公司通过开放平台、直接连接航空公司系统、全球分销系统，以及与酒店和旅行服务商签署合作协议获取供给；住宿业务主要采用“保证配额”和“按需预订”两种代理模式。</w:t>
      </w:r>
    </w:p>
    <w:p>
      <w:pPr>
        <w:pStyle w:val="ListParagraph"/>
        <w:numPr>
          <w:ilvl w:val="0"/>
          <w:numId w:val="2"/>
        </w:numPr>
        <w:spacing w:after="80" w:line="280"/>
      </w:pPr>
      <w:r>
        <w:rPr>
          <w:sz w:val="22"/>
          <w:szCs w:val="22"/>
        </w:rPr>
        <w:t xml:space="preserve">公司还使用在线支付、数据存储、服务器托管、带宽、用户获取渠道以及广告和营销等服务。主要成本包括客服人员、支付手续费、向旅行供应商支付的款项、通信及技术运营费用、旅游度假产品直接成本、金融服务相关成本、销售营销和产品开发投入。</w:t>
      </w:r>
    </w:p>
    <w:p>
      <w:pPr>
        <w:pStyle w:val="ListParagraph"/>
        <w:numPr>
          <w:ilvl w:val="0"/>
          <w:numId w:val="2"/>
        </w:numPr>
        <w:spacing w:after="80" w:line="280"/>
      </w:pPr>
      <w:r>
        <w:rPr>
          <w:sz w:val="22"/>
          <w:szCs w:val="22"/>
        </w:rPr>
        <w:t xml:space="preserve">航空公司和大型连锁酒店具有品牌、库存及直销能力，携程对其议价能力相对有限，并可能面临供应商发展直销渠道或转向其他平台的压力。</w:t>
      </w:r>
    </w:p>
    <w:p>
      <w:pPr>
        <w:pStyle w:val="ListParagraph"/>
        <w:numPr>
          <w:ilvl w:val="0"/>
          <w:numId w:val="2"/>
        </w:numPr>
        <w:spacing w:after="80" w:line="280"/>
      </w:pPr>
      <w:r>
        <w:rPr>
          <w:sz w:val="22"/>
          <w:szCs w:val="22"/>
        </w:rPr>
        <w:t xml:space="preserve">携程凭借用户流量、搜索及预订入口、企业客户资源、数据和服务能力，对中小酒店、长尾住宿及目的地服务商具有较强的平台吸引力。供应商集中度的具体比例未在研究纪要中披露。</w:t>
      </w:r>
    </w:p>
    <w:p>
      <w:pPr>
        <w:pStyle w:val="ListParagraph"/>
        <w:numPr>
          <w:ilvl w:val="0"/>
          <w:numId w:val="2"/>
        </w:numPr>
        <w:spacing w:after="80" w:line="280"/>
      </w:pPr>
      <w:r>
        <w:rPr>
          <w:sz w:val="22"/>
          <w:szCs w:val="22"/>
        </w:rPr>
        <w:t xml:space="preserve">交通票务通常属于较低抽佣率业务，住宿预订通常属于较高抽佣率业务；住宿及目的地活动业务的佣金和服务费弹性可能高于交通票务业务。</w:t>
      </w:r>
    </w:p>
    <w:p>
      <w:pPr>
        <w:pStyle w:val="ListParagraph"/>
        <w:numPr>
          <w:ilvl w:val="0"/>
          <w:numId w:val="2"/>
        </w:numPr>
        <w:spacing w:after="80" w:line="280"/>
      </w:pPr>
      <w:r>
        <w:rPr>
          <w:sz w:val="22"/>
          <w:szCs w:val="22"/>
        </w:rPr>
        <w:t xml:space="preserve">下游客户包括个人休闲旅客、商务及企业差旅客户、购买机票、酒店、旅游度假及目的地活动的用户，以及广告主。</w:t>
      </w:r>
    </w:p>
    <w:p>
      <w:pPr>
        <w:pStyle w:val="ListParagraph"/>
        <w:numPr>
          <w:ilvl w:val="0"/>
          <w:numId w:val="2"/>
        </w:numPr>
        <w:spacing w:after="80" w:line="280"/>
      </w:pPr>
      <w:r>
        <w:rPr>
          <w:sz w:val="22"/>
          <w:szCs w:val="22"/>
        </w:rPr>
        <w:t xml:space="preserve">公司通过携程、去哪儿、Trip.com和天巡等品牌，并利用移动应用、网站、客服中心、呼叫中心及线下门店触达客户。截至2024年12月31日，公司在中国约300个城市拥有约6,000家线下门店；2024年超过90%的订单通过移动渠道完成。</w:t>
      </w:r>
    </w:p>
    <w:p>
      <w:pPr>
        <w:pStyle w:val="ListParagraph"/>
        <w:numPr>
          <w:ilvl w:val="0"/>
          <w:numId w:val="2"/>
        </w:numPr>
        <w:spacing w:after="80" w:line="280"/>
      </w:pPr>
      <w:r>
        <w:rPr>
          <w:sz w:val="22"/>
          <w:szCs w:val="22"/>
        </w:rPr>
        <w:t xml:space="preserve">2025年年报披露，2023、2024和2025年均不存在单一客户占公司净收入10%以上的情况；截至2024年末和2025年末，也不存在单一客户占应收账款10%以上的情况。公司未披露完整的前五大客户收入占比，因此不能据此推断客户集中度很低；上述数据来源为公司年报，仍仅反映单一客户10%阈值。</w:t>
      </w:r>
    </w:p>
    <w:p>
      <w:pPr>
        <w:pStyle w:val="ListParagraph"/>
        <w:numPr>
          <w:ilvl w:val="0"/>
          <w:numId w:val="2"/>
        </w:numPr>
        <w:spacing w:after="80" w:line="280"/>
      </w:pPr>
      <w:r>
        <w:rPr>
          <w:sz w:val="22"/>
          <w:szCs w:val="22"/>
        </w:rPr>
        <w:t xml:space="preserve">个人用户对价格、库存、取消政策、售后服务和便利性敏感；企业客户关注协议价格、差旅合规、报销系统、服务稳定性和集中采购效率。</w:t>
      </w:r>
    </w:p>
    <w:p>
      <w:pPr>
        <w:pStyle w:val="ListParagraph"/>
        <w:numPr>
          <w:ilvl w:val="0"/>
          <w:numId w:val="2"/>
        </w:numPr>
        <w:spacing w:after="80" w:line="280"/>
      </w:pPr>
      <w:r>
        <w:rPr>
          <w:sz w:val="22"/>
          <w:szCs w:val="22"/>
        </w:rPr>
        <w:t xml:space="preserve">酒店和航空公司既是供应商，也可能通过直销渠道争夺终端用户；抖音、美团、阿里飞猪等流量平台可能通过内容、即时消费或综合电商场景截取旅行订单。</w:t>
      </w:r>
    </w:p>
    <w:p>
      <w:pPr>
        <w:pStyle w:val="ListParagraph"/>
        <w:numPr>
          <w:ilvl w:val="0"/>
          <w:numId w:val="2"/>
        </w:numPr>
        <w:spacing w:after="80" w:line="280"/>
      </w:pPr>
      <w:r>
        <w:rPr>
          <w:sz w:val="22"/>
          <w:szCs w:val="22"/>
        </w:rPr>
        <w:t xml:space="preserve">下游竞争主要围绕品牌知名度、旅游产品广度和深度、价格竞争力、用户支持及用户满意度展开，携程的优势并非来自对终端客户的强制议价，而是来自产品覆盖、品牌信任、供应链深度、跨境服务、客服能力及数据和技术体系。</w:t>
      </w:r>
    </w:p>
    <w:p>
      <w:pPr>
        <w:pStyle w:val="ListParagraph"/>
        <w:numPr>
          <w:ilvl w:val="0"/>
          <w:numId w:val="2"/>
        </w:numPr>
        <w:spacing w:after="80" w:line="280"/>
      </w:pPr>
      <w:r>
        <w:rPr>
          <w:sz w:val="22"/>
          <w:szCs w:val="22"/>
        </w:rPr>
        <w:t xml:space="preserve">截至2025年12月31日，应收账款为人民币152.41亿元，约相当于2025年净收入的24.4%；预付款及其他流动资产为人民币239.82亿元，约相当于净收入的38.4%；应付账款为人民币191.50亿元，约相当于净收入的30.7%；客户预收款为人民币181.85亿元。支付给航空供应商的长期保证金为人民币2.70亿元，支付给其他供应商的长期预付款及押金合计约人民币6.00亿元。2025年经营活动现金流为人民币143.79亿元，低于2024年的人民币196.25亿元，主要与预付款及其他流动资产增加导致的营运资金占用上升有关。上述金额均为人民币，未换算为港元。数据表明公司具备一定的平台型结算优势，但并非完全不受供应商结算、客户预收、航空票务保证金及金融服务扩张影响。</w:t>
      </w:r>
    </w:p>
    <w:p>
      <w:pPr>
        <w:pStyle w:val="ListParagraph"/>
        <w:numPr>
          <w:ilvl w:val="0"/>
          <w:numId w:val="2"/>
        </w:numPr>
        <w:spacing w:after="80" w:line="280"/>
      </w:pPr>
      <w:r>
        <w:rPr>
          <w:sz w:val="22"/>
          <w:szCs w:val="22"/>
        </w:rPr>
        <w:t xml:space="preserve">供应端同时包含大型航空公司和连锁酒店以及大量中小及长尾供应商，具体供应商集中度未披露。需求端方面，2025年年报披露2023—2025年均不存在单一客户占净收入10%以上的情况，截至2024年末和2025年末也不存在单一客户占应收账款10%以上的情况；但公司未披露前五大客户合计占比，不能据此认定客户集中度很低。市场份额方面，2024年GMV口径下携程约56%、同程约15%、美团约13%、飞猪约8%、抖音约3%的数据来自二手媒体对券商研究的转述，并非公司年报或监管机构正式统计，口径及准确性存在局限。</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约81.8%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约22.3%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净营业收入人民币445.10亿元，营业成本人民币81.21亿元，归属于股东净利润人民币99.18亿元。旅游需求在疫情后快速恢复，住宿和交通订单修复，平台规模效应恢复，但产品开发及服务投入仍较高。</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约81.3%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约32.0%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净营业收入人民币532.94亿元，营业成本人民币99.90亿元，归属于股东净利润人民币170.67亿元。住宿预订收入占比由2023年的39%升至40%，住宿业务通常具有较高抽佣率；同时产品开发费用率下降，规模效应改善。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约80.6%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约53.4%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净营业收入约人民币624亿元，营业成本人民币121亿元，归属于股东净利润人民币332.94亿元。住宿预订占比进一步升至42%，但营业成本率仍为19%，毛利率基本稳定；净利率大幅上升主要受到投资相关收益影响，包括部分处置MakeMyTrip权益，不应视为主营业务利润率的常态提升。</w:t>
            </w:r>
          </w:p>
        </w:tc>
      </w:tr>
    </w:tbl>
    <w:p>
      <w:pPr>
        <w:spacing w:before="200"/>
      </w:pPr>
    </w:p>
    <w:p>
      <w:pPr>
        <w:spacing w:after="160" w:line="300"/>
      </w:pPr>
      <w:r>
        <w:rPr>
          <w:sz w:val="22"/>
          <w:szCs w:val="22"/>
        </w:rPr>
        <w:t xml:space="preserve">携程位于旅游产业链中游偏平台和分发环节，属于轻资产、高毛利但并非上游资源垄断或下游品牌消费品模式。其进一步提升利润主要依赖住宿、旅游度假及目的地活动等较高抽佣业务占比提升、国际业务扩张、平台规模效应、技术和人工智能提升转化率及降低获客成本，而不是依赖传统制造业式的原材料成本下降或自有产能扩张。2025年约53.4%的净利率受到投资收益影响，不宜作为主营业务常态盈利水平。</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人民币约162.94亿元；公司公告四舍五入口径为人民币162亿元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归属于携程集团股东的净利润约人民币24.99亿元；公告口径约人民币25亿元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同比下降约41.6%至42%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人民币约624.09亿元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同比增长约16.9%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归属于携程集团股东的净利润约人民币332.94亿元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同比增长约95.1%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人民币约533.77亿元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未单独提供同比增速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归属于携程集团股东的净利润约人民币170.67亿元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未单独提供同比增速</w:t>
            </w:r>
          </w:p>
        </w:tc>
      </w:tr>
    </w:tbl>
    <w:p>
      <w:pPr>
        <w:spacing w:after="200"/>
      </w:pPr>
      <w:r>
        <w:rPr>
          <w:i/>
          <w:iCs/>
          <w:color w:val="595959"/>
          <w:sz w:val="18"/>
          <w:szCs w:val="18"/>
        </w:rPr>
        <w:t xml:space="preserve">最新可核实财报为2026年第一季度；截至2026年9月10日，2026年第二季度及上半年业绩尚未公布，公司计划于2026年9月15日美国时间公布相关业绩。上述财务数据以人民币计价，港股市场计价货币为港元，人民币与港元之间未作换算。2026年第一季度数据未经审计。</w:t>
      </w:r>
    </w:p>
    <w:p>
      <w:pPr>
        <w:spacing w:after="160" w:line="300"/>
      </w:pPr>
      <w:r>
        <w:rPr>
          <w:sz w:val="22"/>
          <w:szCs w:val="22"/>
        </w:rPr>
        <w:t xml:space="preserve">2026年第一季度净营业收入同比增长17%，住宿预订、交通票务、旅游度假及商旅管理收入分别约为人民币65亿元、61亿元、11亿元及6.9亿元，增速分别为17%、12%、19%及20%。但归母GAAP净利润同比下降约42%，非美国通用会计准则归母净利润约人民币39.05亿元，同比下降约6.8%；经调整EBITDA约人民币48.30亿元，同比增长约13.7%。公司对2026年第二季度收入指引为同比增长约3%至8%，低于第一季度增速。2025年全年净利润较高，部分受投资收益、公允价值变动及联营公司收益等非经营性或波动性项目影响，不宜直接外推至2026年。</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综合数据来自经济通截至2026年9月上旬披露的17份券商报告，金额及EPS均以人民币计价；收入预测主要参考StockAnalysis及一份2026年6月发布的单一券商研究资料。2027年及2028年收入缺乏同口径、可交叉验证的公开多机构共识。上述预测并非公司官方业绩指引，且可能因2026年第二季度业绩、监管整改、业务调整及投资收益波动而调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多机构平均预测约人民币674亿元；预测区间约人民币653亿至696亿元。另有单一券商预测人民币679亿元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多机构中位/平均预测人民币131.65亿元；预测区间人民币71.96亿至171.69亿元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较2025年实际净利润人民币332.94亿元下降约60.4%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约人民币20.67元/股</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单一券商预测人民币768亿元；公开多机构共识数据不完整</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综合预测人民币169.56亿元；预测区间人民币143.83亿至201.44亿元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较2026年预测回升约28.8%</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约人民币27.91元/股</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单一券商预测人民币869亿元；公开多机构共识数据不完整</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综合预测人民币191.03亿元；预测区间人民币153.89亿至220.11亿元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较2027年预测增长约12.7%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约人民币30.96元/股</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星展</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目标价563港元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摩根大通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目标价560港元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目标价560港元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目标价558.48港元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中信里昂</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目标价530.40港元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大和</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目标价508港元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目标价483.60港元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美银</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目标价471港元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汇丰</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目标价468港元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摩根士丹利</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目标价468港元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目标价427港元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目标价396港元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麦格理</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目标价345.54港元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经济通综合17份券商报告</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整体对应买入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截至2026年9月上旬</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强烈买入1份、买入15份、持有1份、沽出及强烈沽出均为0份；综合平均评级数值2.00</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富途公开汇总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未提供综合评级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分析师目标价平均值约462.71港元，最高约657港元，最低约373.42港元</w:t>
            </w:r>
          </w:p>
        </w:tc>
      </w:tr>
    </w:tbl>
    <w:p>
      <w:pPr>
        <w:spacing w:before="200"/>
      </w:pPr>
    </w:p>
    <w:p>
      <w:pPr>
        <w:spacing w:after="160" w:line="300"/>
      </w:pPr>
      <w:r>
        <w:rPr>
          <w:sz w:val="22"/>
          <w:szCs w:val="22"/>
        </w:rPr>
        <w:t xml:space="preserve">截至2026年9月9日港股收市，股价约316.60港元；经济通截至2026年9月7日显示股价326.60港元，显示近期存在较明显波动。截至2026年9月7日，理杏仁显示总市值约2105.95亿港元、TTM市盈率约6.01倍。MarketScreener显示2026年至2028年预测市盈率分别约14.5倍、10.9倍及10.0倍。按股价316.60港元及2026年综合预测EPS人民币20.67元粗略换算，2026年预测市盈率约为14倍至15倍，与14.5倍基本一致；但该换算涉及人民币与港元汇率，纪要未提供具体汇率，不能视为精确估值。以316.60港元计算，经济通券商目标价区间为345.54港元至563港元，富途汇总平均目标价约462.71港元，平均目标价较当前股价约高46%，最低目标价较当前股价约高9%。评级整体偏正面，但2026年净利润预测区间为人民币71.96亿至171.69亿元，分歧较大。不同平台的市盈率可能采用GAAP净利润、调整后净利润或不同汇率及股本口径，不能未经调整直接横向比较；潜在上涨空间亦未考虑汇率、股息、回购、监管处罚或盈利预测调整。</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携程将于2026年9月16日公布2026年第二季度及上半年业绩</w:t>
      </w:r>
    </w:p>
    <w:p>
      <w:pPr>
        <w:spacing w:after="160" w:line="300"/>
      </w:pPr>
      <w:r>
        <w:rPr>
          <w:sz w:val="22"/>
          <w:szCs w:val="22"/>
        </w:rPr>
        <w:t xml:space="preserve">携程集团于2026年9月2日在香港交易所发布公告：董事会审计委员会将于2026年9月14日审议截至2026年6月30日止三个月及六个月的财务业绩；公司将于2026年9月16日香港时间港股开市前公布2026年第二季度及上半年业绩；管理层电话会议将于美国东部时间2026年9月15日晚上8时、即香港时间2026年9月16日上午8时举行。截至2026年9月13日，第二季度收入、净利润及管理层最新指引尚未正式披露。公司此前对第二季度收入增长的初步展望约为3%至8%，并非最终业绩数据。市场后续关注住宿业务、国际业务、暑期旅游需求、反垄断整改影响、利润率及下半年指引。</w:t>
      </w:r>
    </w:p>
    <w:p>
      <w:pPr>
        <w:pStyle w:val="Heading2"/>
        <w:spacing w:after="120" w:before="240"/>
      </w:pPr>
      <w:r>
        <w:rPr>
          <w:b/>
          <w:bCs/>
          <w:color w:val="2E74B5"/>
          <w:sz w:val="24"/>
          <w:szCs w:val="24"/>
        </w:rPr>
        <w:t xml:space="preserve">4.2 Capital Group于2026年9月1日减持携程约182.0631万股</w:t>
      </w:r>
    </w:p>
    <w:p>
      <w:pPr>
        <w:spacing w:after="160" w:line="300"/>
      </w:pPr>
      <w:r>
        <w:rPr>
          <w:sz w:val="22"/>
          <w:szCs w:val="22"/>
        </w:rPr>
        <w:t xml:space="preserve">根据研究纪要所述的香港联交所权益披露数据二次整理信息，The Capital Group Companies, Inc.于2026年9月1日减持携程约182.0631万股，平均每股作价约349.7037港元，涉及金额约6.37亿港元。减持后持股数量约4728.09万股，持股比例降至6.80%，相关公告及媒体披露日期主要集中在2026年9月3日。该机构仍处于5%以上主要股东披露范围内。公开资料未显示具体减持原因，且上述数字尚需通过香港联交所权益披露原始文件进一步核对持股主体、权益性质及申报日期。</w:t>
      </w:r>
    </w:p>
    <w:p>
      <w:pPr>
        <w:pStyle w:val="Heading2"/>
        <w:spacing w:after="120" w:before="240"/>
      </w:pPr>
      <w:r>
        <w:rPr>
          <w:b/>
          <w:bCs/>
          <w:color w:val="2E74B5"/>
          <w:sz w:val="24"/>
          <w:szCs w:val="24"/>
        </w:rPr>
        <w:t xml:space="preserve">4.3 携程被列为已完成机票超售整改的线上售票平台</w:t>
      </w:r>
    </w:p>
    <w:p>
      <w:pPr>
        <w:spacing w:after="160" w:line="300"/>
      </w:pPr>
      <w:r>
        <w:rPr>
          <w:sz w:val="22"/>
          <w:szCs w:val="22"/>
        </w:rPr>
        <w:t xml:space="preserve">北京市市场监督管理局于2026年9月8日发布京津冀三地消费者协会组织的机票超售整改通报。截至2026年8月31日，先前被约谈的10家航空公司和5家线上售票平台已完成整改，携程属于其中的平台之一。相关整改包括在购票页面设置机票超售规则独立必读弹窗，在旅客确认规则后方可继续购票，在订单详情页及售后渠道展示赔付标准和申诉入口，建立超售投诉专项台账，并推动线上平台与航空公司投诉系统信息互通。该事项对携程影响偏中性偏正面，但属于行业性整改，后续仍有“回头看”检查。</w:t>
      </w:r>
    </w:p>
    <w:p>
      <w:pPr>
        <w:pStyle w:val="Heading2"/>
        <w:spacing w:after="120" w:before="240"/>
      </w:pPr>
      <w:r>
        <w:rPr>
          <w:b/>
          <w:bCs/>
          <w:color w:val="2E74B5"/>
          <w:sz w:val="24"/>
          <w:szCs w:val="24"/>
        </w:rPr>
        <w:t xml:space="preserve">4.4 携程反垄断行政处罚的整改影响仍待量化</w:t>
      </w:r>
    </w:p>
    <w:p>
      <w:pPr>
        <w:spacing w:after="160" w:line="300"/>
      </w:pPr>
      <w:r>
        <w:rPr>
          <w:sz w:val="22"/>
          <w:szCs w:val="22"/>
        </w:rPr>
        <w:t xml:space="preserve">国家市场监督管理总局于2026年7月25日公布携程垄断案行政处罚决定书，携程同日表示接受处罚决定并将依法依规整改。公开信息显示，处罚措施包括责令停止相关违法行为、退还向酒店经营者强制扣除的订单储备金约1.22亿元人民币、没收违法所得约16.58亿元人民币，以及按2025年度中国境内销售额的7.5%处以约35.21亿元人民币罚款，罚没及退还金额合计约51.79亿元人民币。后续影响重点在于酒店独家合作、全网最低价安排、价格调整工具、流量分配机制及商户合同条款调整，可能影响住宿业务佣金率、供给质量或利润率。截至2026年9月13日，尚未检索到公司对整改成本、商户退款完成进度或2026年全年利润影响的量化披露，也未检索到监管部门发布的最终结案文件。</w:t>
      </w:r>
    </w:p>
    <w:p>
      <w:pPr>
        <w:pStyle w:val="Heading2"/>
        <w:spacing w:after="120" w:before="240"/>
      </w:pPr>
      <w:r>
        <w:rPr>
          <w:b/>
          <w:bCs/>
          <w:color w:val="2E74B5"/>
          <w:sz w:val="24"/>
          <w:szCs w:val="24"/>
        </w:rPr>
        <w:t xml:space="preserve">4.5 截至2026年9月13日未发现新增回购、并购或业绩预警公告</w:t>
      </w:r>
    </w:p>
    <w:p>
      <w:pPr>
        <w:spacing w:after="160" w:line="300"/>
      </w:pPr>
      <w:r>
        <w:rPr>
          <w:sz w:val="22"/>
          <w:szCs w:val="22"/>
        </w:rPr>
        <w:t xml:space="preserve">基于香港交易所09961公司公告记录、携程投资者关系新闻及公开港股公告汇总页面，截至2026年9月13日未检索到2026年9月新增股份回购公告、股份注销公告、重大并购公告、重大资产出售公告或新的业绩预警、业绩预告。携程此前在2025年资本回报政策下设有最高50亿美元的股份回购计划，但该既有安排不能推断2026年9月已经发生新的港股回购。当前可确认的2026年9月正式公司公告主要为第二季度及上半年业绩发布时间公告。</w:t>
      </w:r>
    </w:p>
    <w:p>
      <w:pPr>
        <w:pStyle w:val="Heading2"/>
        <w:spacing w:after="120" w:before="240"/>
      </w:pPr>
      <w:r>
        <w:rPr>
          <w:b/>
          <w:bCs/>
          <w:color w:val="2E74B5"/>
          <w:sz w:val="24"/>
          <w:szCs w:val="24"/>
        </w:rPr>
        <w:t xml:space="preserve">4.6 近期消息综合判断：业绩临近与监管整改并存</w:t>
      </w:r>
    </w:p>
    <w:p>
      <w:pPr>
        <w:spacing w:after="160" w:line="300"/>
      </w:pPr>
      <w:r>
        <w:rPr>
          <w:sz w:val="22"/>
          <w:szCs w:val="22"/>
        </w:rPr>
        <w:t xml:space="preserve">截至2026年9月13日，09961近期消息呈现业绩催化剂明确、反垄断整改持续、机构股东减持及行业合规改善并存的局面。最重要的短期事件为2026年9月16日香港时间开市前公布第二季度及上半年业绩。投资者需重点核对住宿业务表现、国际业务增速、反垄断整改的量化影响、第二季度利润率、下半年指引，以及是否新增资本回报或回购安排。当前不能将媒体对罚款影响、机构评级或市场预期视为公司正式财务数据；第二季度实际收入、净利润及整改成本仍需等待公司正式公告确认。</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09961 携程集团-S（Trip.com Group Limited），香港交易所上市，计价货币为HKD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305.80港元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较前一交易日下跌3.00港元，跌幅约0.97%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304.80港元 / 307.40港元 / 303.80港元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约363万股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当日成交金额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约11.1亿港元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2026年9月10日收盘及成交</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收盘308.80港元，成交量约422.5万股，成交金额约13.0亿港元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市值及估值（截至2026年9月10日）</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总市值约2,148.57亿港元；静态市盈率约5.27倍；预期市盈率约13.59倍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52周高位613.00港元；52周低位299.20港元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近期价格变化</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2026年9月1日收盘349.00港元，9月11日收盘305.80港元，约七个交易日累计下跌约12.4%；从8月中旬约350至360港元水平计，近期回撤约14%至16%</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近期趋势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股价由8月中旬约350至365港元逐步下行，9月3日收盘325.20港元，9月8日324.20港元，9月9日316.60港元，9月10日308.80港元，9月11日305.80港元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股价已跌破近期350港元附近平台，并持续低于10日、20日、50日及更长期均线，整体处于明显下降趋势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经济通移动平均线（截至2026年9月10日）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10日平均值337.40港元；20日平均值346.67港元；50日平均值346.37港元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均线整体位于现价上方，显示中短期反弹面临压力；但与其他平台读数存在明显差异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Investing.com移动平均线（截至2026年9月10日晚间）</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MA5 307.76港元；MA10 311.16港元；MA20 317.43港元；MA50 329.48港元；MA100 343.65港元；MA200 351.68港元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短线均线压力大致位于310至318港元，中期均线压力大致位于325至350港元；日线综合评级为“强力卖出”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截至2026年9月10日为25.964；另一语言页面截至9月11日约26.339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低于30，处于偏超卖区域，但超卖不等于趋势已经反转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截至2026年9月10日为-6.66；另一语言页面截至9月11日为-5.64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仍处于负值区域，暂未出现明确的金叉修复信号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截至2026年9月10日为38.496；另一语言页面截至9月11日为35.792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约35至38，说明当前下跌趋势仍具有一定强度</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Williams %R</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-79.412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接近超卖区域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ATR(14)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约2.71港元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反映近期股价仍存在一定日内波动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布林带（截至2026年9月11日独立估算）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20日收盘均值约342.23港元；标准差约18.26港元；中轨约342.2港元；上轨约378.8港元；下轨约305.7港元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收盘价305.80港元几乎贴近估算下轨，处于短线极端弱势位置；该布林带基于公开历史收盘价估算，并非行情终端直接披露的官方指标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近期成交量</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9月3日约504万股；9月4日约680万股；9月7日约376万股；9月8日约178万股；9月9日约284万股；9月10日约423万股；9月11日约363万股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9月3日及9月4日成交量显著放大，主要发生在股价下跌阶段，更偏向抛售换手，暂不足以确认资金主动吸纳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成交金额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近期大致在5.5亿至22亿港元之间；9月10日约13亿港元；9月11日约11亿港元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成交额较大，股票整体流动性较好，不属于低成交量小盘股；但近期价格快速下行，买卖双方分歧明显</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近似换手率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以2026年9月11日成交量及约629.71百万股已发行普通股估算约0.58%；9月10日估算约0.67%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该数据并非交易所正式公布的精确换手率；由于同时存在港股普通股、美国存托股份、库存股及激励计划相关股份，实际公众流通股口径可能不同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沽空情况</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2026年9月10日沽空股数约203.82万股、沽空金额约6.27亿港元、占总成交金额约48.24%；9月11日沽空股数约182.93万股、沽空金额约5.58亿港元、占比约50.37%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近两日沽空成交占比接近一半，卖空交易较为活跃并对短线形成一定压力；沽空比例不等于主力资金净流出，也不能单独证明未来走势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股东集中度（截至2026年3月31日）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梁建章约6.5%；董事及高级管理人员合计约9.4%；Capital World Investors约8.9%；百度集团及其全资子公司约7.3%；BlackRock约5.2%；前述主要股东及管理层合计超过约30%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股东结构存在一定集中度，既包括创始人及管理层，也包括大型机构投资者及战略股东；数据距价格基准日约五个半月，且并非完整的前十大港股持有人名单，不能代表2026年9月实时持仓变化</w:t>
            </w:r>
          </w:p>
        </w:tc>
      </w:tr>
    </w:tbl>
    <w:p>
      <w:pPr>
        <w:spacing w:before="200"/>
      </w:pPr>
    </w:p>
    <w:p>
      <w:pPr>
        <w:spacing w:after="160" w:line="300"/>
      </w:pPr>
      <w:r>
        <w:rPr>
          <w:sz w:val="22"/>
          <w:szCs w:val="22"/>
        </w:rPr>
        <w:t xml:space="preserve">截至2026年9月11日，09961收盘305.80港元，已接近52周低位299.20港元及独立估算的布林下轨约305.7港元。股价从9月1日的349.00港元跌至9月11日的305.80港元，约七个交易日累计下跌约12.4%，并持续低于多组中短长期均线。RSI约26、Williams %R接近超卖，显示短线存在技术性反弹条件；但MACD仍为负值、ADX约35至38且日线综合评级为“强力卖出”，说明当前更接近弱势下跌中的超卖状态，而非已经确认见底。近期成交量及成交额较大，但放量主要伴随下跌，且9月10日至11日沽空成交占比约48%至50%，资金面暂以抛售换手及卖空活跃为主要特征。均线及布林带部分数据存在平台口径差异，相关指标应作为区间观察而非绝对结论。</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风险提示：以下内容仅为基于截至2026年9月11日收盘数据、公开技术指标及资金面代理数据的主观情景推演，不构成投资建议，也不是单点价格预测。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316至325港元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316港元附近对应9月9日收盘价及短线反弹首先需要收复的位置；325港元附近对应9月3日至9月8日期间的价格密集区。若放量突破325港元，短线可进一步观察330至340港元区域。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299至306港元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306港元附近接近9月11日收盘价及估算的20日布林下轨；299.20港元为已披露的52周低位。若跌破299.20港元，现有第一支撑区可能失效。</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290至299港元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299.20港元是当前已知的52周低位；若收盘有效跌穿299港元，市场可能向290至295港元寻找下一支撑。该区间基于整数关口、波动幅度及下破风险，尚非已确认的历史支撑。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低位震荡整理（相对权重较高，约六成左右；为主观启发式权重，不是统计概率）：观察区间约300至325港元。触发条件包括守住299至306港元、成交额维持约8亿至15亿港元、沽空比例不再明显升高、RSI从超卖区向上修复，并重新站回306至310港元。若情绪改善，可进一步测试316至325港元压力区；在MACD仍为负值且股价低于中长期均线的情况下，更适合定义为超跌后的震荡修复，而非趋势反转。</w:t>
      </w:r>
    </w:p>
    <w:p>
      <w:pPr>
        <w:pStyle w:val="ListParagraph"/>
        <w:numPr>
          <w:ilvl w:val="0"/>
          <w:numId w:val="2"/>
        </w:numPr>
        <w:spacing w:after="80" w:line="280"/>
      </w:pPr>
      <w:r>
        <w:rPr>
          <w:sz w:val="22"/>
          <w:szCs w:val="22"/>
        </w:rPr>
        <w:t xml:space="preserve">偏弱下行（权重中等，约两成至三成；为主观启发式权重，不是统计概率）：观察区间约290至300港元。触发条件包括收盘跌穿299.20港元的52周低位、单日成交额随下跌明显放大至约15亿港元以上、沽空成交占比继续维持约50%或更高，以及恒生科技指数或中概互联网板块同步走弱。若299港元被放量跌穿，股价可能向290至295港元寻找新平衡；在未收复306至310港元前，反抽仍可能属于弱势反弹。</w:t>
      </w:r>
    </w:p>
    <w:p>
      <w:pPr>
        <w:pStyle w:val="ListParagraph"/>
        <w:numPr>
          <w:ilvl w:val="0"/>
          <w:numId w:val="2"/>
        </w:numPr>
        <w:spacing w:after="80" w:line="280"/>
      </w:pPr>
      <w:r>
        <w:rPr>
          <w:sz w:val="22"/>
          <w:szCs w:val="22"/>
        </w:rPr>
        <w:t xml:space="preserve">反弹走强（相对权重偏低，约一成至两成；为主观启发式权重，不是统计概率）：观察区间约325至340港元。触发条件包括先重新站稳310港元，随后以明显放量方式突破316至325港元，单日成交额持续达到约15亿港元以上，沽空比例回落或出现明显空头回补，同时中概互联网及恒生科技板块同步反弹。若有效突破325港元，下一观察区为330至340港元；进一步突破340至347港元，才可能形成较强的短线修复结构。仅凭RSI超卖不足以确认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日成交量约180万至680万股，成交金额约5.5亿至22亿港元；9月10日至11日沽空成交占比约48%至50%。以约629.71百万股已发行普通股估算，9月10日至11日近似换手率约0.67%及0.58%，但该口径并非交易所正式公布的精确换手率，实际公众流通股可能不同。整体而言，09961成交额较大、流动性较好，不属于低成交量小盘股；但短线卖空活跃、价格快速下行，买卖双方分歧较大。股东集中度数据截至2026年3月31日：梁建章约6.5%、管理层合计约9.4%、Capital World Investors约8.9%、百度集团及其全资子公司约7.3%、BlackRock约5.2%，前述主要股东及管理层合计超过约30%。其中包括创始人及管理层、大型机构投资者和战略股东，但该数据存在约五个半月滞后，且不是完整的前十大港股持有人名单，筹码结构可能已经变化。港股缺乏完全等同于A股“主力资金净流入”的统一公开统计口径，因此成交量、成交额和沽空比例仅作为资金面代理指标。</w:t>
      </w:r>
    </w:p>
    <w:p>
      <w:pPr>
        <w:spacing w:after="160" w:line="300"/>
      </w:pPr>
      <w:r>
        <w:rPr>
          <w:sz w:val="22"/>
          <w:szCs w:val="22"/>
        </w:rPr>
        <w:t xml:space="preserve">若未来一周出现单日成交额持续放大至15亿港元以上，且股价能够收盘站上316至325港元区间，可视为资金承接开始增强的观察信号；若成交额放大但股价仍跌破299港元，则更接近放量抛售或空头占优，而非积极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观察股价能否守住299至306港元区间，尤其关注299.20港元52周低位是否被有效跌穿。</w:t>
      </w:r>
    </w:p>
    <w:p>
      <w:pPr>
        <w:pStyle w:val="ListParagraph"/>
        <w:numPr>
          <w:ilvl w:val="0"/>
          <w:numId w:val="2"/>
        </w:numPr>
        <w:spacing w:after="80" w:line="280"/>
      </w:pPr>
      <w:r>
        <w:rPr>
          <w:sz w:val="22"/>
          <w:szCs w:val="22"/>
        </w:rPr>
        <w:t xml:space="preserve">观察反弹是否能够收复310港元，并进一步突破316至325港元压力区。</w:t>
      </w:r>
    </w:p>
    <w:p>
      <w:pPr>
        <w:pStyle w:val="ListParagraph"/>
        <w:numPr>
          <w:ilvl w:val="0"/>
          <w:numId w:val="2"/>
        </w:numPr>
        <w:spacing w:after="80" w:line="280"/>
      </w:pPr>
      <w:r>
        <w:rPr>
          <w:sz w:val="22"/>
          <w:szCs w:val="22"/>
        </w:rPr>
        <w:t xml:space="preserve">观察单日成交额是否连续达到约15亿港元以上，以及放量时股价是上涨还是下跌。</w:t>
      </w:r>
    </w:p>
    <w:p>
      <w:pPr>
        <w:pStyle w:val="ListParagraph"/>
        <w:numPr>
          <w:ilvl w:val="0"/>
          <w:numId w:val="2"/>
        </w:numPr>
        <w:spacing w:after="80" w:line="280"/>
      </w:pPr>
      <w:r>
        <w:rPr>
          <w:sz w:val="22"/>
          <w:szCs w:val="22"/>
        </w:rPr>
        <w:t xml:space="preserve">观察沽空占比能否从约48%至50%水平回落；若股价反弹但沽空比例仍然偏高，反弹持续性仍需谨慎评估。以上均为观察思路，非操作指令。</w:t>
      </w:r>
    </w:p>
    <w:p>
      <w:pPr>
        <w:spacing w:after="200"/>
      </w:pPr>
      <w:r>
        <w:rPr>
          <w:i/>
          <w:iCs/>
          <w:color w:val="595959"/>
          <w:sz w:val="18"/>
          <w:szCs w:val="18"/>
        </w:rPr>
        <w:t xml:space="preserve">以上情景推演基于截至2026年9月11日收盘数据及历史价格、技术指标测算，短期股价还会受消息面、资金面、大盘环境、沽空交易及中概互联网板块表现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携程所属行业为在线旅行平台、在线旅行代理商（OTA）和综合旅游服务行业。行业通过数字化平台连接酒店、航空公司、铁路、旅游度假及目的地活动等供给方与个人及企业旅客，收入通常按佣金、服务费或推荐费净额确认。</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供给高度数字化，酒店、航空公司和目的地服务商通过平台获得订单。</w:t>
      </w:r>
    </w:p>
    <w:p>
      <w:pPr>
        <w:pStyle w:val="ListParagraph"/>
        <w:numPr>
          <w:ilvl w:val="0"/>
          <w:numId w:val="2"/>
        </w:numPr>
        <w:spacing w:after="80" w:line="280"/>
      </w:pPr>
      <w:r>
        <w:rPr>
          <w:sz w:val="22"/>
          <w:szCs w:val="22"/>
        </w:rPr>
        <w:t xml:space="preserve">机票业务规模较大但通常抽佣率较低；酒店、旅游度假和目的地活动通常具有更高抽佣率或服务费率。</w:t>
      </w:r>
    </w:p>
    <w:p>
      <w:pPr>
        <w:pStyle w:val="ListParagraph"/>
        <w:numPr>
          <w:ilvl w:val="0"/>
          <w:numId w:val="2"/>
        </w:numPr>
        <w:spacing w:after="80" w:line="280"/>
      </w:pPr>
      <w:r>
        <w:rPr>
          <w:sz w:val="22"/>
          <w:szCs w:val="22"/>
        </w:rPr>
        <w:t xml:space="preserve">用户流量、品牌、价格、库存深度、供应链整合、客服和技术能力是核心竞争要素。</w:t>
      </w:r>
    </w:p>
    <w:p>
      <w:pPr>
        <w:pStyle w:val="ListParagraph"/>
        <w:numPr>
          <w:ilvl w:val="0"/>
          <w:numId w:val="2"/>
        </w:numPr>
        <w:spacing w:after="80" w:line="280"/>
      </w:pPr>
      <w:r>
        <w:rPr>
          <w:sz w:val="22"/>
          <w:szCs w:val="22"/>
        </w:rPr>
        <w:t xml:space="preserve">航空公司、酒店集团和内容平台既可能是合作伙伴，也可能通过直销或流量入口成为竞争者。</w:t>
      </w:r>
    </w:p>
    <w:p>
      <w:pPr>
        <w:pStyle w:val="ListParagraph"/>
        <w:numPr>
          <w:ilvl w:val="0"/>
          <w:numId w:val="2"/>
        </w:numPr>
        <w:spacing w:after="80" w:line="280"/>
      </w:pPr>
      <w:r>
        <w:rPr>
          <w:sz w:val="22"/>
          <w:szCs w:val="22"/>
        </w:rPr>
        <w:t xml:space="preserve">行业存在季节性，通常第三季度受暑期旅游需求带动较强。</w:t>
      </w:r>
    </w:p>
    <w:p>
      <w:pPr>
        <w:pStyle w:val="ListParagraph"/>
        <w:numPr>
          <w:ilvl w:val="0"/>
          <w:numId w:val="2"/>
        </w:numPr>
        <w:spacing w:after="80" w:line="280"/>
      </w:pPr>
      <w:r>
        <w:rPr>
          <w:sz w:val="22"/>
          <w:szCs w:val="22"/>
        </w:rPr>
        <w:t xml:space="preserve">中国国内竞争逐步从单纯价格竞争转向供应链、内容、会员体系、跨境服务、企业差旅和人工智能推荐能力竞争。</w:t>
      </w:r>
    </w:p>
    <w:p>
      <w:pPr>
        <w:pStyle w:val="ListParagraph"/>
        <w:numPr>
          <w:ilvl w:val="0"/>
          <w:numId w:val="2"/>
        </w:numPr>
        <w:spacing w:after="80" w:line="280"/>
      </w:pPr>
      <w:r>
        <w:rPr>
          <w:sz w:val="22"/>
          <w:szCs w:val="22"/>
        </w:rPr>
        <w:t xml:space="preserve">公开市场资料中的2024年中国国内OTA GMV估算显示，携程约占56%、同程约15%、美团约13%、飞猪约8%、抖音约3%；该数据为券商估算的二手转述，非携程年报或监管机构正式统计，不能视为精确市场份额。</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同程旅行（00780.HK）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国内综合OTA平台，重点覆盖下沉市场、微信生态、机票、酒店、火车票及景区门票等业务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依托腾讯生态及微信入口，在低线城市和大众旅游市场具有较强覆盖；与携程既竞争又合作。2024年携程向同程支付佣金及其他服务费人民币0.51亿元，同程向携程支付人民币2.74亿元。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美团旅行</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依托美团和大众点评的本地生活、到店消费及餐饮流量切入酒店和本地旅游市场</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在本地酒店和短途旅游场景具有竞争力；在国际机票、长途跨境旅游、综合商旅服务和全球化供应链方面通常不及携程。</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飞猪（阿里巴巴旗下）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依托淘宝、支付宝和阿里生态的在线旅行平台，覆盖机票、酒店、度假及出境旅游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具备电商流量、支付体系和商家运营能力，在机票、酒店、出境游和旅游度假产品上与携程直接竞争，但旅游业务嵌入综合电商生态。</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Booking Holdings</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全球大型在线住宿及旅行平台，旗下包括Booking.com、Agoda、Priceline和Kayak等品牌</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欧洲、北美及国际住宿市场具有品牌和供应链优势；截至2024年末约有400万处房源，其中约350万处为替代住宿、约50万处为酒店、汽车旅馆和度假村。与携程在国际酒店、跨境住宿和全球用户争夺方面具有可比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Expedia Group</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全球综合OTA集团，旗下包括Expedia、Hotels.com、Vrbo和Orbitz等品牌</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覆盖酒店、替代住宿、航空、租车、邮轮、保险和目的地活动；截至2024年末可提供超过350万处住宿房源、超过500家航空公司及多种旅行产品。与携程在国际OTA和跨境旅行场景中具有可比性。</w:t>
            </w:r>
          </w:p>
        </w:tc>
      </w:tr>
    </w:tbl>
    <w:p>
      <w:pPr>
        <w:spacing w:before="200"/>
      </w:pPr>
    </w:p>
    <w:p>
      <w:pPr>
        <w:spacing w:after="160" w:line="300"/>
      </w:pPr>
      <w:r>
        <w:rPr>
          <w:sz w:val="22"/>
          <w:szCs w:val="22"/>
        </w:rPr>
        <w:t xml:space="preserve">携程相较同程更偏向综合旅行服务、全球化供应链、跨境中国游客及商旅服务；相较美团，携程在国际机票、长途跨境旅游和全球化供应链方面更具平台广度；相较飞猪，携程更偏专业旅行平台模式，而飞猪嵌入阿里综合电商生态；相较Booking Holdings和Expedia，携程优势更偏向中国市场、亚洲用户、跨境中国游客及综合交通服务。行业竞争者还包括酒店和航空公司直销渠道、传统旅行社、内容平台及社交网络。</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反垄断处罚及整改可能压低住宿业务盈利能力：携程被处以约人民币35.21亿元罚款，并被要求没收约人民币16.58亿元违法所得及退还约人民币1.22亿元订单储备金；酒店独家合作、全网最低价安排、价格调整工具、流量分配机制和商户合同调整可能影响住宿佣金率、供给质量及利润率，当前公司尚未披露全年量化影响。</w:t>
      </w:r>
    </w:p>
    <w:p>
      <w:pPr>
        <w:pStyle w:val="ListParagraph"/>
        <w:numPr>
          <w:ilvl w:val="0"/>
          <w:numId w:val="2"/>
        </w:numPr>
        <w:spacing w:after="80" w:line="280"/>
      </w:pPr>
      <w:r>
        <w:rPr>
          <w:sz w:val="22"/>
          <w:szCs w:val="22"/>
        </w:rPr>
        <w:t xml:space="preserve">2025年净利润存在较强的非经营性波动风险：归母净利润约人民币332.94亿元、净利率约53.4%，大幅增长部分来自投资收益、公允价值变动及联营公司收益，包括部分处置MakeMyTrip权益；若相关收益不再出现，净利润可能显著回落，不能以2025年利润水平直接外推未来盈利。</w:t>
      </w:r>
    </w:p>
    <w:p>
      <w:pPr>
        <w:pStyle w:val="ListParagraph"/>
        <w:numPr>
          <w:ilvl w:val="0"/>
          <w:numId w:val="2"/>
        </w:numPr>
        <w:spacing w:after="80" w:line="280"/>
      </w:pPr>
      <w:r>
        <w:rPr>
          <w:sz w:val="22"/>
          <w:szCs w:val="22"/>
        </w:rPr>
        <w:t xml:space="preserve">主营盈利增速已有放缓迹象：2026年第一季度收入同比增长17%，但归母GAAP净利润同比下降约42%，非美国通用会计准则归母净利润也同比下降约6.8%；公司对第二季度收入增长的初步展望仅为3%至8%，若住宿、国际业务或暑期旅游需求低于预期，盈利预测可能进一步下调。</w:t>
      </w:r>
    </w:p>
    <w:p>
      <w:pPr>
        <w:pStyle w:val="ListParagraph"/>
        <w:numPr>
          <w:ilvl w:val="0"/>
          <w:numId w:val="2"/>
        </w:numPr>
        <w:spacing w:after="80" w:line="280"/>
      </w:pPr>
      <w:r>
        <w:rPr>
          <w:sz w:val="22"/>
          <w:szCs w:val="22"/>
        </w:rPr>
        <w:t xml:space="preserve">平台对大型供应商的议价能力有限：大型航空公司及连锁酒店拥有品牌、库存和直销渠道，可能提高直销比例、减少平台依赖或转向其他平台；交通票务收入约占2025年收入36%，但通常抽佣率较低，若业务增长更多来自交通票务而非住宿及目的地活动，收入增长未必同步转化为利润增长。</w:t>
      </w:r>
    </w:p>
    <w:p>
      <w:pPr>
        <w:pStyle w:val="ListParagraph"/>
        <w:numPr>
          <w:ilvl w:val="0"/>
          <w:numId w:val="2"/>
        </w:numPr>
        <w:spacing w:after="80" w:line="280"/>
      </w:pPr>
      <w:r>
        <w:rPr>
          <w:sz w:val="22"/>
          <w:szCs w:val="22"/>
        </w:rPr>
        <w:t xml:space="preserve">竞争及流量分流风险较高：同程、美团、飞猪以及抖音等平台分别依托微信、生活服务、电商支付和内容流量争夺旅行订单，酒店及航空公司直销渠道亦可能直接触达终端用户；携程需要持续投入营销、技术、会员和客服体系，相关投入可能限制利润率改善。</w:t>
      </w:r>
    </w:p>
    <w:p>
      <w:pPr>
        <w:pStyle w:val="ListParagraph"/>
        <w:numPr>
          <w:ilvl w:val="0"/>
          <w:numId w:val="2"/>
        </w:numPr>
        <w:spacing w:after="80" w:line="280"/>
      </w:pPr>
      <w:r>
        <w:rPr>
          <w:sz w:val="22"/>
          <w:szCs w:val="22"/>
        </w:rPr>
        <w:t xml:space="preserve">营运资金占用及现金流波动可能加大：截至2025年末，应收账款约人民币152.41亿元，预付款及其他流动资产约人民币239.82亿元；2025年经营活动现金流约人民币143.79亿元，低于2024年的人民币196.25亿元，主要与预付款及其他流动资产增加有关，显示平台型结算模式并非完全不受供应商结算及金融服务扩张影响。</w:t>
      </w:r>
    </w:p>
    <w:p>
      <w:pPr>
        <w:pStyle w:val="ListParagraph"/>
        <w:numPr>
          <w:ilvl w:val="0"/>
          <w:numId w:val="2"/>
        </w:numPr>
        <w:spacing w:after="80" w:line="280"/>
      </w:pPr>
      <w:r>
        <w:rPr>
          <w:sz w:val="22"/>
          <w:szCs w:val="22"/>
        </w:rPr>
        <w:t xml:space="preserve">股价和资金面仍处于弱势：截至2026年9月11日股价为305.80港元，接近52周低位299.20港元，且持续低于多组均线；MACD为负、ADX约35至38，9月10日至11日沽空成交占比约48%至50%，若跌破299.20港元并伴随成交额放大，短线下行压力可能进一步增强。</w:t>
      </w:r>
    </w:p>
    <w:p>
      <w:pPr>
        <w:pStyle w:val="ListParagraph"/>
        <w:numPr>
          <w:ilvl w:val="0"/>
          <w:numId w:val="2"/>
        </w:numPr>
        <w:spacing w:after="80" w:line="280"/>
      </w:pPr>
      <w:r>
        <w:rPr>
          <w:sz w:val="22"/>
          <w:szCs w:val="22"/>
        </w:rPr>
        <w:t xml:space="preserve">机构持股变化可能加剧市场波动：Capital Group于2026年9月1日减持约182.0631万股，涉及金额约6.37亿港元，持股比例降至约6.80%；公司主要股东及管理层持股数据合计超过约30%，但部分数据截至2026年3月31日且并非完整前十大持有人名单，后续持仓变化可能对股价流动性和市场预期产生影响。</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携程的核心增长逻辑仍在于其全球化供给网络、品牌和客服体系，以及住宿、旅游度假、目的地活动和商旅服务对业务结构的持续改善。2025年住宿预订收入增速高于交通票务，显示高抽佣业务占比提升具备一定支撑；2026年第一季度收入保持17%增长，调整后盈利及经调整EBITDA亦显示主营经营仍具韧性。与此同时，2026年收入预测平均约人民币674亿元，较2025年实际收入继续增长，但预测盈利中枢约人民币131.65亿元，显著低于2025年归母净利润，反映市场已将非经常性投资收益回落及监管整改影响纳入考量。</w:t>
      </w:r>
    </w:p>
    <w:p>
      <w:pPr>
        <w:spacing w:after="160" w:line="300"/>
      </w:pPr>
      <w:r>
        <w:rPr>
          <w:sz w:val="22"/>
          <w:szCs w:val="22"/>
        </w:rPr>
        <w:t xml:space="preserve">短期关键变量是2026年第二季度及上半年业绩，以及管理层对住宿业务、国际业务、利润率、反垄断整改影响和下半年经营趋势的最新说明。反垄断处罚涉及约人民币35.21亿元罚款、约人民币16.58亿元没收违法所得及约人民币1.22亿元订单储备金退还，后续酒店合作、价格工具、流量分配和商户合同调整对住宿佣金率及供给质量的影响尚未量化。</w:t>
      </w:r>
    </w:p>
    <w:p>
      <w:pPr>
        <w:spacing w:after="160" w:line="300"/>
      </w:pPr>
      <w:r>
        <w:rPr>
          <w:sz w:val="22"/>
          <w:szCs w:val="22"/>
        </w:rPr>
        <w:t xml:space="preserve">技术层面，若股价能够守住299至306港元并重新站回310港元，短线或观察316至325港元压力区；若放量跌穿299.20港元，则290至299港元可能成为新的观察区间。上述区间仅反映截至2026年9月11日的技术面情景，后续走势仍取决于业绩兑现、监管整改、市场情绪、沽空活动及中概互联网板块表现，不构成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09961 携程集团－Ｓ TRIP.COM-S - 免费即时股票报价 - 基本数据 - etnet 经济通|香港新闻财经资讯和生活平台 — https://www.etnet.com.hk/www/sc/stocks/realtime/quote_ci_basicdata.php?code=9961&amp;utm_source=openai</w:t>
      </w:r>
    </w:p>
    <w:p>
      <w:pPr>
        <w:spacing w:after="200"/>
      </w:pPr>
      <w:r>
        <w:rPr>
          <w:i/>
          <w:iCs/>
          <w:color w:val="595959"/>
          <w:sz w:val="18"/>
          <w:szCs w:val="18"/>
        </w:rPr>
        <w:t xml:space="preserve">https://www1.hkexnews.hk/listedco/listconews/sehk/2025/0411/2025041101009.pdf — https://www1.hkexnews.hk/listedco/listconews/sehk/2025/0411/2025041101009.pdf</w:t>
      </w:r>
    </w:p>
    <w:p>
      <w:pPr>
        <w:spacing w:after="200"/>
      </w:pPr>
      <w:r>
        <w:rPr>
          <w:i/>
          <w:iCs/>
          <w:color w:val="595959"/>
          <w:sz w:val="18"/>
          <w:szCs w:val="18"/>
        </w:rPr>
        <w:t xml:space="preserve">Trip.com Group Limited Reports Unaudited Fourth Quarter and Full Year of 2025 Financial Results | Trip.com Group Limited — https://investors.trip.com/news-releases/news-release-details/tripcom-group-limited-reports-unaudited-fourth-quarter-and-5</w:t>
      </w:r>
    </w:p>
    <w:p>
      <w:pPr>
        <w:spacing w:after="200"/>
      </w:pPr>
      <w:r>
        <w:rPr>
          <w:i/>
          <w:iCs/>
          <w:color w:val="595959"/>
          <w:sz w:val="18"/>
          <w:szCs w:val="18"/>
        </w:rPr>
        <w:t xml:space="preserve">https://www.hkexnews.hk/listedco/listconews/sehk/2026/0428/2026042803041.pdf — https://www.hkexnews.hk/listedco/listconews/sehk/2026/0428/2026042803041.pdf</w:t>
      </w:r>
    </w:p>
    <w:p>
      <w:pPr>
        <w:spacing w:after="200"/>
      </w:pPr>
      <w:r>
        <w:rPr>
          <w:i/>
          <w:iCs/>
          <w:color w:val="595959"/>
          <w:sz w:val="18"/>
          <w:szCs w:val="18"/>
        </w:rPr>
        <w:t xml:space="preserve">中国在线旅游市场竞争格局与市场份额分布-携程(TCOM)股吧-实时行情分析讨论-新浪财经 — https://guba.sina.cn/view_55157_4686.html?utm_source=openai</w:t>
      </w:r>
    </w:p>
    <w:p>
      <w:pPr>
        <w:spacing w:after="200"/>
      </w:pPr>
      <w:r>
        <w:rPr>
          <w:i/>
          <w:iCs/>
          <w:color w:val="595959"/>
          <w:sz w:val="18"/>
          <w:szCs w:val="18"/>
        </w:rPr>
        <w:t xml:space="preserve">bkng-20241231 — https://www.sec.gov/Archives/edgar/data/1075531/000107553125000010/bkng-20241231.htm</w:t>
      </w:r>
    </w:p>
    <w:p>
      <w:pPr>
        <w:spacing w:after="200"/>
      </w:pPr>
      <w:r>
        <w:rPr>
          <w:i/>
          <w:iCs/>
          <w:color w:val="595959"/>
          <w:sz w:val="18"/>
          <w:szCs w:val="18"/>
        </w:rPr>
        <w:t xml:space="preserve">expe-20241231 — https://www.sec.gov/Archives/edgar/data/1324424/000132442425000008/expe-20241231.htm</w:t>
      </w:r>
    </w:p>
    <w:p>
      <w:pPr>
        <w:spacing w:after="200"/>
      </w:pPr>
      <w:r>
        <w:rPr>
          <w:i/>
          <w:iCs/>
          <w:color w:val="595959"/>
          <w:sz w:val="18"/>
          <w:szCs w:val="18"/>
        </w:rPr>
        <w:t xml:space="preserve">Listed Company Information Title Search — https://www1.hkexnews.hk/search/titlesearch.xhtml?category=0&amp;lang=EN&amp;market=SEHK&amp;stockId=1000090312&amp;utm_source=openai</w:t>
      </w:r>
    </w:p>
    <w:p>
      <w:pPr>
        <w:spacing w:after="200"/>
      </w:pPr>
      <w:r>
        <w:rPr>
          <w:i/>
          <w:iCs/>
          <w:color w:val="595959"/>
          <w:sz w:val="18"/>
          <w:szCs w:val="18"/>
        </w:rPr>
        <w:t xml:space="preserve">Investor Relations | Trip.com Group Limited — https://investors.trip.com/?utm_source=openai</w:t>
      </w:r>
    </w:p>
    <w:p>
      <w:pPr>
        <w:spacing w:after="200"/>
      </w:pPr>
      <w:r>
        <w:rPr>
          <w:i/>
          <w:iCs/>
          <w:color w:val="595959"/>
          <w:sz w:val="18"/>
          <w:szCs w:val="18"/>
        </w:rPr>
        <w:t xml:space="preserve">Trip.com Group Limited Reports Unaudited First Quarter of 2026 Financial Results | Trip.com Group Limited — https://investors.trip.com/news-releases/news-release-details/tripcom-group-limited-reports-unaudited-first-quarter-2026/?utm_source=openai</w:t>
      </w:r>
    </w:p>
    <w:p>
      <w:pPr>
        <w:spacing w:after="200"/>
      </w:pPr>
      <w:r>
        <w:rPr>
          <w:i/>
          <w:iCs/>
          <w:color w:val="595959"/>
          <w:sz w:val="18"/>
          <w:szCs w:val="18"/>
        </w:rPr>
        <w:t xml:space="preserve">TRIP.COM GROUP LIMITED — https://www1.hkexnews.hk/listedco/listconews/sehk/2026/0428/2026042802953.pdf?utm_source=openai</w:t>
      </w:r>
    </w:p>
    <w:p>
      <w:pPr>
        <w:spacing w:after="200"/>
      </w:pPr>
      <w:r>
        <w:rPr>
          <w:i/>
          <w:iCs/>
          <w:color w:val="595959"/>
          <w:sz w:val="18"/>
          <w:szCs w:val="18"/>
        </w:rPr>
        <w:t xml:space="preserve">09961.HK 攜程集團－Ｓ | TRIP.COM-S | 公司資料 - 盈利預測概覽 - etnet 經濟通|香港新聞財經資訊和生活平台 — https://www.etnet.com.hk/www/tc/stocks/realtime/quote_profit.php?code=09961</w:t>
      </w:r>
    </w:p>
    <w:p>
      <w:pPr>
        <w:spacing w:after="200"/>
      </w:pPr>
      <w:r>
        <w:rPr>
          <w:i/>
          <w:iCs/>
          <w:color w:val="595959"/>
          <w:sz w:val="18"/>
          <w:szCs w:val="18"/>
        </w:rPr>
        <w:t xml:space="preserve">Trip.com Group (HKG:9961) Stock Forecast &amp; Price Targets — https://stockanalysis.com/quote/hkg/9961/forecast/?utm_source=openai</w:t>
      </w:r>
    </w:p>
    <w:p>
      <w:pPr>
        <w:spacing w:after="200"/>
      </w:pPr>
      <w:r>
        <w:rPr>
          <w:i/>
          <w:iCs/>
          <w:color w:val="595959"/>
          <w:sz w:val="18"/>
          <w:szCs w:val="18"/>
        </w:rPr>
        <w:t xml:space="preserve">Trip.com Group Limited: Valuation Ratios, Analysts' Forecasts - MarketScreener — https://www.marketscreener.com/quote/stock/TRIP-COM-GROUP-LIMITED-122419123/valuation/?utm_source=openai</w:t>
      </w:r>
    </w:p>
    <w:p>
      <w:pPr>
        <w:spacing w:after="200"/>
      </w:pPr>
      <w:r>
        <w:rPr>
          <w:i/>
          <w:iCs/>
          <w:color w:val="595959"/>
          <w:sz w:val="18"/>
          <w:szCs w:val="18"/>
        </w:rPr>
        <w:t xml:space="preserve">Listed Company Information Title Search — https://www1.hkexnews.hk/search/titlesearch.xhtml?category=0&amp;market=SEHK&amp;stockId=1000090312</w:t>
      </w:r>
    </w:p>
    <w:p>
      <w:pPr>
        <w:spacing w:after="200"/>
      </w:pPr>
      <w:r>
        <w:rPr>
          <w:i/>
          <w:iCs/>
          <w:color w:val="595959"/>
          <w:sz w:val="18"/>
          <w:szCs w:val="18"/>
        </w:rPr>
        <w:t xml:space="preserve">https://www1.hkexnews.hk/listedco/listconews/sehk/2026/0902/2026090201797.pdf — https://www1.hkexnews.hk/listedco/listconews/sehk/2026/0902/2026090201797.pdf</w:t>
      </w:r>
    </w:p>
    <w:p>
      <w:pPr>
        <w:spacing w:after="200"/>
      </w:pPr>
      <w:r>
        <w:rPr>
          <w:i/>
          <w:iCs/>
          <w:color w:val="595959"/>
          <w:sz w:val="18"/>
          <w:szCs w:val="18"/>
        </w:rPr>
        <w:t xml:space="preserve">美国资本集团减持携程集团-S(09961.HK)182.0631万股 每股作价约349.7港元_股票频道_证券之星 — https://stock.stockstar.com/RB2026090300037094.shtml</w:t>
      </w:r>
    </w:p>
    <w:p>
      <w:pPr>
        <w:spacing w:after="200"/>
      </w:pPr>
      <w:r>
        <w:rPr>
          <w:i/>
          <w:iCs/>
          <w:color w:val="595959"/>
          <w:sz w:val="18"/>
          <w:szCs w:val="18"/>
        </w:rPr>
        <w:t xml:space="preserve">京津冀三地消协组织通报：10家航空公司、5家线上售票平台完成机票超售整改_北京市市场监督管理局 — https://scjgj.beijing.gov.cn/zwxx/scjgdt/202609/t20260908_4854655.html</w:t>
      </w:r>
    </w:p>
    <w:p>
      <w:pPr>
        <w:spacing w:after="200"/>
      </w:pPr>
      <w:r>
        <w:rPr>
          <w:i/>
          <w:iCs/>
          <w:color w:val="595959"/>
          <w:sz w:val="18"/>
          <w:szCs w:val="18"/>
        </w:rPr>
        <w:t xml:space="preserve">市场监管总局发布携程垄断案行政处罚决定书 — https://www.samr.gov.cn/zw/xzcfjd/art/2026/art_b1d5546730274f488a23aa524ccf6c67.html</w:t>
      </w:r>
    </w:p>
    <w:p>
      <w:pPr>
        <w:spacing w:after="200"/>
      </w:pPr>
      <w:r>
        <w:rPr>
          <w:i/>
          <w:iCs/>
          <w:color w:val="595959"/>
          <w:sz w:val="18"/>
          <w:szCs w:val="18"/>
        </w:rPr>
        <w:t xml:space="preserve">9961 Technical Analysis, RSI and Moving Averages - Investing.com — https://www.investing.com/equities/trip.com-group-technical</w:t>
      </w:r>
    </w:p>
    <w:p>
      <w:pPr>
        <w:spacing w:after="200"/>
      </w:pPr>
      <w:r>
        <w:rPr>
          <w:i/>
          <w:iCs/>
          <w:color w:val="595959"/>
          <w:sz w:val="18"/>
          <w:szCs w:val="18"/>
        </w:rPr>
        <w:t xml:space="preserve">content.etnet.com.hk — https://content.etnet.com.hk/content/cpyrevamp/tc/stock_quote.php?code=09961</w:t>
      </w:r>
    </w:p>
    <w:p>
      <w:pPr>
        <w:spacing w:after="200"/>
      </w:pPr>
      <w:r>
        <w:rPr>
          <w:i/>
          <w:iCs/>
          <w:color w:val="595959"/>
          <w:sz w:val="18"/>
          <w:szCs w:val="18"/>
        </w:rPr>
        <w:t xml:space="preserve">Trip.com Group Limited (9961.HK) Stock Historical Prices &amp; Data - Yahoo Finance — https://ca.finance.yahoo.com/quote/9961.HK/history/?utm_source=openai</w:t>
      </w:r>
    </w:p>
    <w:p>
      <w:pPr>
        <w:spacing w:after="200"/>
      </w:pPr>
      <w:r>
        <w:rPr>
          <w:i/>
          <w:iCs/>
          <w:color w:val="595959"/>
          <w:sz w:val="18"/>
          <w:szCs w:val="18"/>
        </w:rPr>
        <w:t xml:space="preserve">9961 Technical Analysis, RSI and Moving Averages - Investing.com — https://www.investing.com/equities/trip.com-group-technical?utm_source=openai</w:t>
      </w:r>
    </w:p>
    <w:p>
      <w:pPr>
        <w:spacing w:after="200"/>
      </w:pPr>
      <w:r>
        <w:rPr>
          <w:i/>
          <w:iCs/>
          <w:color w:val="595959"/>
          <w:sz w:val="18"/>
          <w:szCs w:val="18"/>
        </w:rPr>
        <w:t xml:space="preserve">沽空记录 _ 东方财富网 — https://hk.eastmoney.com/sellshort_1.html?code=09961&amp;edate=&amp;sdate=&amp;utm_source=openai</w:t>
      </w:r>
    </w:p>
    <w:p>
      <w:pPr>
        <w:spacing w:after="200"/>
      </w:pPr>
      <w:r>
        <w:rPr>
          <w:i/>
          <w:iCs/>
          <w:color w:val="595959"/>
          <w:sz w:val="18"/>
          <w:szCs w:val="18"/>
        </w:rPr>
        <w:t xml:space="preserve">https://stockn.xueqiu.com/09961/20260428978460.pdf — https://stockn.xueqiu.com/09961/20260428978460.pdf</w:t>
      </w:r>
    </w:p>
    <w:p>
      <w:pPr>
        <w:spacing w:after="200"/>
      </w:pPr>
      <w:r>
        <w:rPr>
          <w:i/>
          <w:iCs/>
          <w:color w:val="595959"/>
          <w:sz w:val="18"/>
          <w:szCs w:val="18"/>
        </w:rPr>
        <w:t xml:space="preserve">本报告由AI基于公开渠道信息自动检索、整理并生成，信息截至 数据截至2026年9月11日港股收盘；部分报价至少延迟15分钟，技术指标由第三方平台按不同口径计算。，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2026-09-13T14:13:21.727Z</dcterms:created>
  <dcterms:modified xsi:type="dcterms:W3CDTF">2026-09-13T14:13:21.727Z</dcterms:modified>
</cp:coreProperties>
</file>

<file path=docProps/custom.xml><?xml version="1.0" encoding="utf-8"?>
<Properties xmlns="http://schemas.openxmlformats.org/officeDocument/2006/custom-properties" xmlns:vt="http://schemas.openxmlformats.org/officeDocument/2006/docPropsVTypes"/>
</file>