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吉峰三农科技服务股份有限公司（吉峰科技） (300022)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行业：农机流通与农业装备服务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截至2026年9月11日收盘；部分股东及机构持仓数据截至2026年6月30日，存在季度滞后。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吉峰科技当前处于“收入增长但盈利基础仍弱、低空业务预期升温”的阶段：2026年上半年实现营业收入16.04亿元，同比增长9.76%，归母净利润549.48万元，同比增长35.76%，扣非归母净利润336.67万元，同比增长14.28%；但2025年全年仍亏损3121.91万元，2026年二季度归母净利润约127.23万元，较一季度明显减弱，主营业务盈利修复尚未充分确认。</w:t>
      </w:r>
    </w:p>
    <w:p>
      <w:pPr>
        <w:spacing w:after="160" w:line="300"/>
      </w:pPr>
      <w:r>
        <w:rPr>
          <w:sz w:val="22"/>
          <w:szCs w:val="22"/>
        </w:rPr>
        <w:t xml:space="preserve">公司核心仍是农机流通与综合服务，2025年农机流通收入23.46亿元，占营业收入84.82%，农机制造、低空业务收入占比分别为7.18%和6.00%。截至2025年末，公司拥有164家直营店、1,221家代理经销店，覆盖全国21个省（市），全国化、多品牌渠道和售后服务构成主要竞争优势，但流通业务毛利率仅9.77%，整体毛利率已由2023年的15.78%降至2025年的11.72%。</w:t>
      </w:r>
    </w:p>
    <w:p>
      <w:pPr>
        <w:spacing w:after="160" w:line="300"/>
      </w:pPr>
      <w:r>
        <w:rPr>
          <w:sz w:val="22"/>
          <w:szCs w:val="22"/>
        </w:rPr>
        <w:t xml:space="preserve">低空业务是当前主要成长预期来源。公司近期中标宿城区低空全域智慧运营项目，中标金额约1.49亿元，并牵头中标湖北省枝江市低空基础设施及配套场景建设项目EPC工程，中标金额2.89亿元。不过，中标金额不等同于已确认收入或利润，项目仍取决于正式合同、履约进度、回款及后续运营能力；同时，公司与实际控制人控制的关联方预计开展不超过2亿元的无人机合作，实际交易规模、价格和盈利贡献仍待具体合同验证。</w:t>
      </w:r>
    </w:p>
    <w:p>
      <w:pPr>
        <w:spacing w:after="160" w:line="300"/>
      </w:pPr>
      <w:r>
        <w:rPr>
          <w:sz w:val="22"/>
          <w:szCs w:val="22"/>
        </w:rPr>
        <w:t xml:space="preserve">截至2026年9月11日，公司股价7.97元，总市值约39.4亿元，低于MA5、MA10和MA20，近期呈冲高回落、缩量偏弱整理状态。2026年上半年ROE仅1.08%，由于滚动净利润为负，PE-TTM不具备通常参考意义，当前约7.7倍至7.8倍PB更多反映市场对低空业务和利润修复的预期，估值与现有盈利能力之间存在较大落差。</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300022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吉峰科技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战略定位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2025年控股股东及实际控制人变更后，形成“低空经济+农机”双轮驱动战略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27.66亿元，同比增长2.10%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农机流通收入23.46亿元，占84.82%；农机制造收入1.99亿元，占7.18%；低空业务收入1.66亿元，占6.00%；载货汽车业务收入0.55亿元，占2.00%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渠道网络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截至2025年12月31日，直营店164家、代理经销店1,221家，合计1,385家，覆盖全国21个省（市）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直营连锁与代理经销相结合，并向农机制造、低空业务及农事综合服务延伸</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农机连锁销售服务：采用直营卖场店、直营专业店及代理经销模式，提供农机销售、维修、安装、培训、售后及整体机械化解决方案。</w:t>
      </w:r>
    </w:p>
    <w:p>
      <w:pPr>
        <w:pStyle w:val="ListParagraph"/>
        <w:numPr>
          <w:ilvl w:val="0"/>
          <w:numId w:val="2"/>
        </w:numPr>
        <w:spacing w:after="80" w:line="280"/>
      </w:pPr>
      <w:r>
        <w:rPr>
          <w:sz w:val="22"/>
          <w:szCs w:val="22"/>
        </w:rPr>
        <w:t xml:space="preserve">高端特色农机研发制造：主要由控股子公司吉林康达开展，产品包括免耕精量施肥播种机、深松整地机、圆盘耙地机、马铃薯种植机和多功能精密播种机等。</w:t>
      </w:r>
    </w:p>
    <w:p>
      <w:pPr>
        <w:pStyle w:val="ListParagraph"/>
        <w:numPr>
          <w:ilvl w:val="0"/>
          <w:numId w:val="2"/>
        </w:numPr>
        <w:spacing w:after="80" w:line="280"/>
      </w:pPr>
      <w:r>
        <w:rPr>
          <w:sz w:val="22"/>
          <w:szCs w:val="22"/>
        </w:rPr>
        <w:t xml:space="preserve">低空业务：2025年仍以无人机及配件代理销售为主，并计划延伸至低空起降场、航路网、低空飞行服务中心、智能服务平台及应用场景运营。</w:t>
      </w:r>
    </w:p>
    <w:p>
      <w:pPr>
        <w:pStyle w:val="ListParagraph"/>
        <w:numPr>
          <w:ilvl w:val="0"/>
          <w:numId w:val="2"/>
        </w:numPr>
        <w:spacing w:after="80" w:line="280"/>
      </w:pPr>
      <w:r>
        <w:rPr>
          <w:sz w:val="22"/>
          <w:szCs w:val="22"/>
        </w:rPr>
        <w:t xml:space="preserve">农事综合服务：采用“1+X+N”三级社会化服务体系，覆盖耕、种、防、收、烘、储、加、销等环节，并参与农事服务中心及农业生产全流程综合服务项目。</w:t>
      </w:r>
    </w:p>
    <w:p>
      <w:pPr>
        <w:pStyle w:val="ListParagraph"/>
        <w:numPr>
          <w:ilvl w:val="0"/>
          <w:numId w:val="2"/>
        </w:numPr>
        <w:spacing w:after="80" w:line="280"/>
      </w:pPr>
      <w:r>
        <w:rPr>
          <w:sz w:val="22"/>
          <w:szCs w:val="22"/>
        </w:rPr>
        <w:t xml:space="preserve">载货汽车业务：2025年实现收入0.55亿元，占营业收入2.00%。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吉峰科技位于农业机械产业链中游偏下游，核心身份是全国化农机流通渠道和综合服务商，同时通过吉林康达向农机制造环节延伸，并向低空运营和农业生产服务端拓展。</w:t>
      </w:r>
    </w:p>
    <w:p>
      <w:pPr>
        <w:pStyle w:val="ListParagraph"/>
        <w:numPr>
          <w:ilvl w:val="0"/>
          <w:numId w:val="2"/>
        </w:numPr>
        <w:spacing w:after="80" w:line="280"/>
      </w:pPr>
      <w:r>
        <w:rPr>
          <w:sz w:val="22"/>
          <w:szCs w:val="22"/>
        </w:rPr>
        <w:t xml:space="preserve">农机流通业务主要采购国内外农机制造商的整机、配件及相关商品，主要品牌包括久保田、洋马、约翰迪尔、凯斯纽荷兰、东方红、潍柴雷沃等；公司还拥有联合飞机、大疆等农用无人机的区域经销资格。</w:t>
      </w:r>
    </w:p>
    <w:p>
      <w:pPr>
        <w:pStyle w:val="ListParagraph"/>
        <w:numPr>
          <w:ilvl w:val="0"/>
          <w:numId w:val="2"/>
        </w:numPr>
        <w:spacing w:after="80" w:line="280"/>
      </w:pPr>
      <w:r>
        <w:rPr>
          <w:sz w:val="22"/>
          <w:szCs w:val="22"/>
        </w:rPr>
        <w:t xml:space="preserve">采购模式包括集团目录管理分散采购和分散采购。公司披露，对同类产品采购原则上不少于两家供应商，并采用公平竞价方式；公司称已与主要供应商建立较长期合作关系，对主要供应商不存在重大依赖。</w:t>
      </w:r>
    </w:p>
    <w:p>
      <w:pPr>
        <w:pStyle w:val="ListParagraph"/>
        <w:numPr>
          <w:ilvl w:val="0"/>
          <w:numId w:val="2"/>
        </w:numPr>
        <w:spacing w:after="80" w:line="280"/>
      </w:pPr>
      <w:r>
        <w:rPr>
          <w:sz w:val="22"/>
          <w:szCs w:val="22"/>
        </w:rPr>
        <w:t xml:space="preserve">农机流通业务受品牌授权、厂商商务政策、采购价格和销售返利影响，虽具备渠道规模和多品牌代理能力，但终端价格仍受到制造商定价、区域代理制度及农机补贴政策影响，整体更接近渠道型议价，而非完全定价。</w:t>
      </w:r>
    </w:p>
    <w:p>
      <w:pPr>
        <w:pStyle w:val="ListParagraph"/>
        <w:numPr>
          <w:ilvl w:val="0"/>
          <w:numId w:val="2"/>
        </w:numPr>
        <w:spacing w:after="80" w:line="280"/>
      </w:pPr>
      <w:r>
        <w:rPr>
          <w:sz w:val="22"/>
          <w:szCs w:val="22"/>
        </w:rPr>
        <w:t xml:space="preserve">吉林康达制造业务采购钢材、板材、管材、棒材、播种圆盘刀、施肥圆盘刀、排种器、深松铲、锻件、铸件、冲压件等，并采购电力和天然气；单台农机具约由2,000余个部件组成，部分重要零部件自主生产，其余主要通过采购或外协加工解决。</w:t>
      </w:r>
    </w:p>
    <w:p>
      <w:pPr>
        <w:pStyle w:val="ListParagraph"/>
        <w:numPr>
          <w:ilvl w:val="0"/>
          <w:numId w:val="2"/>
        </w:numPr>
        <w:spacing w:after="80" w:line="280"/>
      </w:pPr>
      <w:r>
        <w:rPr>
          <w:sz w:val="22"/>
          <w:szCs w:val="22"/>
        </w:rPr>
        <w:t xml:space="preserve">吉林康达的核心产品具备一定技术、品牌和保护性耕作场景壁垒，议价能力高于普通农机经销业务，但仍会受到钢材价格、通用零部件成本及市场降价压力影响。</w:t>
      </w:r>
    </w:p>
    <w:p>
      <w:pPr>
        <w:pStyle w:val="ListParagraph"/>
        <w:numPr>
          <w:ilvl w:val="0"/>
          <w:numId w:val="2"/>
        </w:numPr>
        <w:spacing w:after="80" w:line="280"/>
      </w:pPr>
      <w:r>
        <w:rPr>
          <w:sz w:val="22"/>
          <w:szCs w:val="22"/>
        </w:rPr>
        <w:t xml:space="preserve">下游客户包括农户、家庭农场、农民合作社、规模化农业经营主体、地方农机经销商，以及地方政府、农投平台和农事服务项目投资方。</w:t>
      </w:r>
    </w:p>
    <w:p>
      <w:pPr>
        <w:pStyle w:val="ListParagraph"/>
        <w:numPr>
          <w:ilvl w:val="0"/>
          <w:numId w:val="2"/>
        </w:numPr>
        <w:spacing w:after="80" w:line="280"/>
      </w:pPr>
      <w:r>
        <w:rPr>
          <w:sz w:val="22"/>
          <w:szCs w:val="22"/>
        </w:rPr>
        <w:t xml:space="preserve">直营模式直接面向终端农户和农业经营主体；代理模式下，公司先销售给县乡经销商，再由经销商销售给农户、合作社及其他农业经营主体。</w:t>
      </w:r>
    </w:p>
    <w:p>
      <w:pPr>
        <w:pStyle w:val="ListParagraph"/>
        <w:numPr>
          <w:ilvl w:val="0"/>
          <w:numId w:val="2"/>
        </w:numPr>
        <w:spacing w:after="80" w:line="280"/>
      </w:pPr>
      <w:r>
        <w:rPr>
          <w:sz w:val="22"/>
          <w:szCs w:val="22"/>
        </w:rPr>
        <w:t xml:space="preserve">2025年度向特定对象发行审核问询回复披露，公司报告期内前五大客户销售占比约为5.06%—10.21%。该数据来自发行审核回复材料，未与2025年年报客户明细再次交叉核实，具体仍应以公司最新定期报告为准。</w:t>
      </w:r>
    </w:p>
    <w:p>
      <w:pPr>
        <w:pStyle w:val="ListParagraph"/>
        <w:numPr>
          <w:ilvl w:val="0"/>
          <w:numId w:val="2"/>
        </w:numPr>
        <w:spacing w:after="80" w:line="280"/>
      </w:pPr>
      <w:r>
        <w:rPr>
          <w:sz w:val="22"/>
          <w:szCs w:val="22"/>
        </w:rPr>
        <w:t xml:space="preserve">农机行业下游客户较为分散，单个终端客户规模较小；需求受粮食价格、农业经营收益、用户现金流及补贴政策影响，传统农机产品同质化竞争明显，农户和经销商对价格、补贴到账时间及售后服务较为敏感。</w:t>
      </w:r>
    </w:p>
    <w:p>
      <w:pPr>
        <w:pStyle w:val="ListParagraph"/>
        <w:numPr>
          <w:ilvl w:val="0"/>
          <w:numId w:val="2"/>
        </w:numPr>
        <w:spacing w:after="80" w:line="280"/>
      </w:pPr>
      <w:r>
        <w:rPr>
          <w:sz w:val="22"/>
          <w:szCs w:val="22"/>
        </w:rPr>
        <w:t xml:space="preserve">公司通过多品牌代理、跨区域渠道和维修培训等售后服务提升客户黏性，但难以完全摆脱终端价格竞争和农机补贴政策变化的影响。低空业务下游还包括地方政府、基础设施建设方和运营平台，当前仍处于业务拓展与项目落地阶段。</w:t>
      </w:r>
    </w:p>
    <w:p>
      <w:pPr>
        <w:pStyle w:val="ListParagraph"/>
        <w:numPr>
          <w:ilvl w:val="0"/>
          <w:numId w:val="2"/>
        </w:numPr>
        <w:spacing w:after="80" w:line="280"/>
      </w:pPr>
      <w:r>
        <w:rPr>
          <w:sz w:val="22"/>
          <w:szCs w:val="22"/>
        </w:rPr>
        <w:t xml:space="preserve">截至2025年12月31日，公司应收账款2.72亿元，同比下降20.43%，约占营业收入的9.8%；预付款项2.06亿元，同比上升44.23%，约占营业收入的7.4%；存货6.45亿元，同比下降3.23%，约占营业收入的23.3%。应收账款下降且经营活动现金流改善，显示回款管理有所加强；但预付款项上升、库存占比较高，表明采购及库存环节仍占用资金。2025年流通销售存货周转率为3.64次，低于审核回复列示的同行业样本平均水平5.45次，但该样本同时包含汽车流通和农机制造企业，业务结构不完全可比。</w:t>
      </w:r>
    </w:p>
    <w:p>
      <w:pPr>
        <w:pStyle w:val="ListParagraph"/>
        <w:numPr>
          <w:ilvl w:val="0"/>
          <w:numId w:val="2"/>
        </w:numPr>
        <w:spacing w:after="80" w:line="280"/>
      </w:pPr>
      <w:r>
        <w:rPr>
          <w:sz w:val="22"/>
          <w:szCs w:val="22"/>
        </w:rPr>
        <w:t xml:space="preserve">公司披露主要供应商不存在重大依赖，但未提供本纪要中的具体供应商集中度数据；下游前五大客户销售占比约为5.06%—10.21%，数据对应发行审核问询回复所覆盖报告期，来源单一且未与2025年年报交叉核实，具体以公司最新定期报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研究纪要未提供净利率；毛利率作为后续年度比较基准。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研究纪要未提供净利率；毛利率较2022年小幅提升，主要与农机产品结构及流通销售毛利改善有关。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13.58%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研究纪要未提供净利率；毛利率明显下降，受到农机制造收入占比下降、行业需求承压及业务结构变化影响。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研究纪要未提供净利率；毛利率进一步下降，主要由于农机流通和农机制造毛利率下降，以及低毛利低空业务快速放量。农机流通、农机制造、低空业务毛利率分别为9.77%、34.45%和14.82%。</w:t>
            </w:r>
          </w:p>
        </w:tc>
      </w:tr>
    </w:tbl>
    <w:p>
      <w:pPr>
        <w:spacing w:before="200"/>
      </w:pPr>
    </w:p>
    <w:p>
      <w:pPr>
        <w:spacing w:after="160" w:line="300"/>
      </w:pPr>
      <w:r>
        <w:rPr>
          <w:sz w:val="22"/>
          <w:szCs w:val="22"/>
        </w:rPr>
        <w:t xml:space="preserve">吉峰科技处于农业机械产业链中游偏下游，属于以渠道和综合服务为核心的中游服务商，而非上游资源型或高定价权制造商。其收入主要由低毛利农机流通贡献，利润弹性主要来自流通门店盈利修复、吉林康达产品结构升级和制造板块定价能力恢复，以及低空和农事服务能否从项目投入转化为持续、可复制的运营收入。</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16.04亿元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同比增长9.76%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归母净利润549.48万元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同比增长35.76%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归母净利润422.25万元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较2025年一季度的435.93万元小幅下降，具体降幅未披露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2026年第二季度（根据半年度报告拆分）</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约8.63亿元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归母净利润约127.23万元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同比增长2.10%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归母净利润亏损3121.91万元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同比亏损扩大约1.32%</w:t>
            </w:r>
          </w:p>
        </w:tc>
      </w:tr>
    </w:tbl>
    <w:p>
      <w:pPr>
        <w:spacing w:after="200"/>
      </w:pPr>
      <w:r>
        <w:rPr>
          <w:i/>
          <w:iCs/>
          <w:color w:val="595959"/>
          <w:sz w:val="18"/>
          <w:szCs w:val="18"/>
        </w:rPr>
        <w:t xml:space="preserve">最新公开披露定期报告为2026年半年度报告，公告日期为2026年8月25日。2026年上半年实现扣非归母净利润336.67万元，同比增长14.28%；基本每股收益0.0111元，同比增长35.37%；加权平均净资产收益率1.08%，较上年同期提升0.33个百分点。同期经营活动产生的现金流量净额为1.02亿元，同比增长358.50%。截至2026年6月30日，归属于上市公司股东的净资产为5.13亿元，较2025年末增长1.43%；总资产为22.59亿元，较2025年末增长12.49%。</w:t>
      </w:r>
    </w:p>
    <w:p>
      <w:pPr>
        <w:spacing w:after="160" w:line="300"/>
      </w:pPr>
      <w:r>
        <w:rPr>
          <w:sz w:val="22"/>
          <w:szCs w:val="22"/>
        </w:rPr>
        <w:t xml:space="preserve">2026年上半年收入和归母净利润同比增长，但利润规模仍较小，扣非归母净利润增速低于归母净利润增速。半年度非经常性损益合计约212.80万元，其中政府补助约358.00万元，利润改善仍有一定非经常性收益贡献。2025年全年亏损，且亏损主要集中于下半年；2026年二季度单季盈利较一季度明显减弱，主营业务盈利基础仍偏弱。</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截至2026年8月27日，同花顺数据显示近6个月内共有2家机构对吉峰科技进行2026年度盈利预测，样本量较小，预测分歧较大。西南证券2026年3月首次覆盖时预计2026年收入31.78亿元、归母净利润661万元、EPS 0.01元；2027年收入36.78亿元、归母净利润1867万元、EPS 0.04元。2026年8月中报点评后，西南证券将预测调整为2026—2028年收入29.7亿元、33.2亿元、39.4亿元，归母净利润0.10亿元、0.50亿元、0.80亿元。西南证券按报告当时股价计算的对应PE分别为389倍、83倍和50倍。东北证券数据为公开页面数据库摘录，未展示完整原始报告全文，可靠性低于直接引用原始研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2026年（同花顺汇总平均）</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约31.35亿元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约0.48亿元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约0.10元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2027年（同花顺汇总平均）</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约36.01亿元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约0.95亿元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约0.20元至0.23元，页面汇总口径存在差异</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2028年（同花顺汇总，西南证券）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约39.37亿元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约0.84亿元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约0.17元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2026年（西南证券，2026年8月预测）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2027年（西南证券，2026年8月预测）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0.50亿元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2028年（西南证券，2026年8月预测）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2026年（东北证券，同花顺数据库摘录）</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32.96亿元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0.90亿元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约0.18元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2027年（东北证券，同花顺数据库摘录）</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38.80亿元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数据库标签为“增持”；可查报告正文为“维持持有”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评级标签与研报正文存在不一致，建议以原始研报正文“持有”为主要参考。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2026年4月8日或4月9日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公开评级数据库显示为“增持”。</w:t>
            </w:r>
          </w:p>
        </w:tc>
      </w:tr>
    </w:tbl>
    <w:p>
      <w:pPr>
        <w:spacing w:before="200"/>
      </w:pPr>
    </w:p>
    <w:p>
      <w:pPr>
        <w:spacing w:after="160" w:line="300"/>
      </w:pPr>
      <w:r>
        <w:rPr>
          <w:sz w:val="22"/>
          <w:szCs w:val="22"/>
        </w:rPr>
        <w:t xml:space="preserve">截至2026年9月11日收盘，股价为7.97元，总市值约39.49亿元，市净率约7.69倍；理杏仁截至2026年9月9日数据显示PB约7.81倍，处于历史区间约76.53%分位，接近历史80%分位点7.88倍，高于历史中位数约6.24倍。由于2025年全年归母净利润亏损，且2026年上半年盈利规模较小，PE-TTM缺乏正常参考意义；富途数据显示PE-TTM约为-132.83倍，理杏仁同样显示市盈率为负值。按2026年9月11日收盘价和西南证券最新预测EPS计算，2026—2028年动态PE分别约398.5倍、79.7倍和46.9倍。公司2026年上半年ROE仅1.08%，当前较高PB更多反映市场对低空业务、项目订单及未来利润修复的预期，而非现有农机流通业务的盈利能力。机构预测分歧较大，公开研报未提供可核实的最新目标价；若低空业务未按预期放量，公司当前估值存在较大回撤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中标宿城区低空全域智慧运营项目，项目金额约1.49亿元</w:t>
      </w:r>
    </w:p>
    <w:p>
      <w:pPr>
        <w:spacing w:after="160" w:line="300"/>
      </w:pPr>
      <w:r>
        <w:rPr>
          <w:sz w:val="22"/>
          <w:szCs w:val="22"/>
        </w:rPr>
        <w:t xml:space="preserve">2026年8月28日，公司披露中标公告。公司作为联合体牵头方，与南京莱斯信息技术股份有限公司、中国铁塔股份有限公司江苏省分公司共同中标“宿城区低空全域智慧运营体系设备采购及配套服务项目”。项目中标金额为14,888.20万元，公司负责约76.80%的建设内容，对应金额约11,434.75万元。建设内容包括智联网基础设施、低空起降设施、低空智慧大脑一体化平台及低空应用场景等。项目尚需签订正式合同，具体实施进度、收入确认及盈利情况存在不确定性，联合体中标金额不能直接等同于公司的营业收入或利润。</w:t>
      </w:r>
    </w:p>
    <w:p>
      <w:pPr>
        <w:pStyle w:val="Heading2"/>
        <w:spacing w:after="120" w:before="240"/>
      </w:pPr>
      <w:r>
        <w:rPr>
          <w:b/>
          <w:bCs/>
          <w:color w:val="2E74B5"/>
          <w:sz w:val="24"/>
          <w:szCs w:val="24"/>
        </w:rPr>
        <w:t xml:space="preserve">4.2 与关联方签署无人机合作框架协议，关联交易预计不超过2亿元</w:t>
      </w:r>
    </w:p>
    <w:p>
      <w:pPr>
        <w:spacing w:after="160" w:line="300"/>
      </w:pPr>
      <w:r>
        <w:rPr>
          <w:sz w:val="22"/>
          <w:szCs w:val="22"/>
        </w:rPr>
        <w:t xml:space="preserve">2026年8月24日，公司董事会审议通过合作框架协议暨关联交易预计议案，并于8月25日披露公告。合作对象为芜湖联合飞机科技有限公司、哈尔滨联合飞机科技有限公司，两家公司均为公司实际控制人控制的关联方。合作内容包括采购无人机整机及配件、支付代理经销保证金、共同利用渠道和项目资源开拓市场，以及共同参与地方三农低空经济项目。协议有效期自生效之日起至2027年12月31日，关联交易总额预计不超过2.00亿元。截至公告披露日，公司及子公司与上述关联方尚未发生关联交易。2026年9月9日，2026年第五次临时股东会审议通过该议案，关联股东安徽澜石企业管理咨询有限公司、湖北尚旌私募基金管理有限公司—尚旌业问盈沣一期私募证券投资基金合计持有97,118,235股，占公司总股本约19.65%，回避表决。该金额为交易上限，不代表已经实现的收入或利润，实际采购数量、价格、订单执行及利润率以后续具体合同为准。</w:t>
      </w:r>
    </w:p>
    <w:p>
      <w:pPr>
        <w:pStyle w:val="Heading2"/>
        <w:spacing w:after="120" w:before="240"/>
      </w:pPr>
      <w:r>
        <w:rPr>
          <w:b/>
          <w:bCs/>
          <w:color w:val="2E74B5"/>
          <w:sz w:val="24"/>
          <w:szCs w:val="24"/>
        </w:rPr>
        <w:t xml:space="preserve">4.3 关联方经营数据仍处于亏损状态，合作履约能力需持续观察</w:t>
      </w:r>
    </w:p>
    <w:p>
      <w:pPr>
        <w:spacing w:after="160" w:line="300"/>
      </w:pPr>
      <w:r>
        <w:rPr>
          <w:sz w:val="22"/>
          <w:szCs w:val="22"/>
        </w:rPr>
        <w:t xml:space="preserve">相关公告披露，芜湖联合飞机科技有限公司2025年度营业收入约1.01亿元、净利润亏损约2,181万元；2026年1—6月营业收入约1,855万元、净利润亏损约2,894万元。上述为关联方自身经营数据，提示合作方仍处于业务拓展阶段，后续合作的履约能力及盈利贡献存在不确定性。</w:t>
      </w:r>
    </w:p>
    <w:p>
      <w:pPr>
        <w:pStyle w:val="Heading2"/>
        <w:spacing w:after="120" w:before="240"/>
      </w:pPr>
      <w:r>
        <w:rPr>
          <w:b/>
          <w:bCs/>
          <w:color w:val="2E74B5"/>
          <w:sz w:val="24"/>
          <w:szCs w:val="24"/>
        </w:rPr>
        <w:t xml:space="preserve">4.4 向特定对象发行股票获中国证监会同意注册，尚未确认完成发行</w:t>
      </w:r>
    </w:p>
    <w:p>
      <w:pPr>
        <w:spacing w:after="160" w:line="300"/>
      </w:pPr>
      <w:r>
        <w:rPr>
          <w:sz w:val="22"/>
          <w:szCs w:val="22"/>
        </w:rPr>
        <w:t xml:space="preserve">2026年8月7日，公司披露向特定对象发行股票申请获得中国证监会同意注册批复。根据此前发行方案，本次发行股票数量上限为75,688,726股，最终发行数量、发行价格和募集资金规模仍需根据注册批复、发行时市场情况及与保荐机构协商确定。截至2026年9月13日，尚未发现公司已经完成发行、缴款及股份登记的公告，因此该事项仍属于已获注册但尚未确认完成发行。发行完成后可能导致总股本扩大，并对每股收益、股权结构及原股东持股比例产生摊薄影响。</w:t>
      </w:r>
    </w:p>
    <w:p>
      <w:pPr>
        <w:pStyle w:val="Heading2"/>
        <w:spacing w:after="120" w:before="240"/>
      </w:pPr>
      <w:r>
        <w:rPr>
          <w:b/>
          <w:bCs/>
          <w:color w:val="2E74B5"/>
          <w:sz w:val="24"/>
          <w:szCs w:val="24"/>
        </w:rPr>
        <w:t xml:space="preserve">4.5 2026年半年度报告显示未实施股份回购</w:t>
      </w:r>
    </w:p>
    <w:p>
      <w:pPr>
        <w:spacing w:after="160" w:line="300"/>
      </w:pPr>
      <w:r>
        <w:rPr>
          <w:sz w:val="22"/>
          <w:szCs w:val="22"/>
        </w:rPr>
        <w:t xml:space="preserve">2026年8月25日，公司披露2026年半年度报告，报告期内不存在股份回购实施进展，相关栏目为“不适用”。截至2026年9月13日，未发现公司在2026年8—9月披露新的股份回购方案、回购预案或回购进展公告。上述结论基于相关公告检索，不代表公司未来不会推出回购计划。</w:t>
      </w:r>
    </w:p>
    <w:p>
      <w:pPr>
        <w:pStyle w:val="Heading2"/>
        <w:spacing w:after="120" w:before="240"/>
      </w:pPr>
      <w:r>
        <w:rPr>
          <w:b/>
          <w:bCs/>
          <w:color w:val="2E74B5"/>
          <w:sz w:val="24"/>
          <w:szCs w:val="24"/>
        </w:rPr>
        <w:t xml:space="preserve">4.6 重要股东此前将合计持股比例降至5%，暂未发现8—9月新增重大减持公告</w:t>
      </w:r>
    </w:p>
    <w:p>
      <w:pPr>
        <w:spacing w:after="160" w:line="300"/>
      </w:pPr>
      <w:r>
        <w:rPr>
          <w:sz w:val="22"/>
          <w:szCs w:val="22"/>
        </w:rPr>
        <w:t xml:space="preserve">2026年6月1日，公司披露王新明、王红艳及其一致行动人西藏山南神宇创业投资管理合伙企业持股比例变动触及1%整数倍并降至5%的公告。上述股东合计持有公司股份24,712,109股，占公司总股本比例由5.96%下降至5.00%。其中，王新明直接持有11,764,886股，占总股本约2.38%；王红艳直接持有12,034,803股，占总股本约2.44%；西藏山南神宇持有912,420股，占总股本约0.18%。截至2026年9月13日，在重点检索到的2026年8—9月公告中，未发现该股东或其他重要股东披露新的集中减持公告。</w:t>
      </w:r>
    </w:p>
    <w:p>
      <w:pPr>
        <w:pStyle w:val="Heading2"/>
        <w:spacing w:after="120" w:before="240"/>
      </w:pPr>
      <w:r>
        <w:rPr>
          <w:b/>
          <w:bCs/>
          <w:color w:val="2E74B5"/>
          <w:sz w:val="24"/>
          <w:szCs w:val="24"/>
        </w:rPr>
        <w:t xml:space="preserve">4.7 公司新增董事、高管离职管理及互动易信息审核制度</w:t>
      </w:r>
    </w:p>
    <w:p>
      <w:pPr>
        <w:spacing w:after="160" w:line="300"/>
      </w:pPr>
      <w:r>
        <w:rPr>
          <w:sz w:val="22"/>
          <w:szCs w:val="22"/>
        </w:rPr>
        <w:t xml:space="preserve">2026年8月24日，公司董事会审议通过《董事、高级管理人员离职管理制度》和《互动易平台信息发布及回复内部审核制度》。相关制度用于规范董事、高级管理人员离职管理，以及互动易信息发布、回复和内部审核流程，属于公司治理和信息披露规范化事项，对当期经营业绩没有直接影响。</w:t>
      </w:r>
    </w:p>
    <w:p>
      <w:pPr>
        <w:pStyle w:val="Heading2"/>
        <w:spacing w:after="120" w:before="240"/>
      </w:pPr>
      <w:r>
        <w:rPr>
          <w:b/>
          <w:bCs/>
          <w:color w:val="2E74B5"/>
          <w:sz w:val="24"/>
          <w:szCs w:val="24"/>
        </w:rPr>
        <w:t xml:space="preserve">4.8 暂未披露2026年三季度或全年业绩预告</w:t>
      </w:r>
    </w:p>
    <w:p>
      <w:pPr>
        <w:spacing w:after="160" w:line="300"/>
      </w:pPr>
      <w:r>
        <w:rPr>
          <w:sz w:val="22"/>
          <w:szCs w:val="22"/>
        </w:rPr>
        <w:t xml:space="preserve">截至2026年9月13日，未检索到公司针对2026年第三季度或2026年全年发布新的业绩预告、业绩预增或业绩预减公告。已披露的较新业绩信息来自2026年半年度报告，公司2026年上半年归属于上市公司股东的净利润约549.5万元，同比增长约35.76%。该数据属于半年度报告数据，不属于业绩预告，不能直接推导全年业绩。后续需关注宿城区项目正式合同及执行情况、定向增发发行与股份登记进度、关联交易实际发生金额、低空项目回款情况及2026年第三季度业绩预告或定期报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300022，吉峰科技；深圳证券交易所创业板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约-0.25%；前一交易日收盘价约7.99元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约662万股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约5200万至5300万元；理杏仁披露约5243.86万元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总股本及总市值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总股本约4.9424亿股；总市值约39.4亿元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52周高点10.53元，低点7.19元；当前收盘价位于区间偏低位置</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PE-TTM约-132.31倍；因滚动净利润为负，负市盈率不宜按普通正盈利公司估值比较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2026年8月28日至9月11日收盘价由8.40元降至7.97元，累计回落约5.1%；9月1日阶段性收盘高点8.36元至9月11日回落约4.7%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冲高后回落；9月7日至9月11日连续四个交易日收盘价下降，短线处于弱势整理状态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收盘价7.97元低于MA5</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约8.14元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收盘价低于MA10；与MA20共同构成上方均线压力区域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约8.16元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收盘价低于MA20；MA5低于MA10和MA20，短期均线呈偏弱排列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未获得与2026年9月11日收盘严格对应且可交叉核验的具体数值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不使用未经当日核验的MACD读数；结合价格低于多条均线及近期回落，短线动能尚未完成确认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基于公开收盘价序列的简化计算约44；Investing曾显示约52.15，但日期存在滞后</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中性偏弱，未进入传统超卖区或超买区，仅凭RSI不能确认较强反弹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中轨约8.16元；20日收盘价标准差约0.108元；上轨约8.38元；下轨约7.95元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收盘价接近布林下轨；9月11日盘中最低约7.83元，盘中一度跌破下轨区域后收回，更接近弱势下探后收回，尚非明确下轨反转确认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平台技术判断</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同花顺截至2026年9月4日判断为“空头行情中，目前正处于反弹阶段”；压力位约8.13元、支撑位约7.95元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属于平台模型判断，不等同于独立技术指标；与均线及布林带相关区域大致相符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截至2026年9月11日，公开盘后摘要显示主力资金整体净流出，但未披露可核验的明确金额；同花顺截至9月4日披露最近5个交易日合计净流出约2428.93万元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资金流向波动较大，尚未形成连续稳定净流入；截至9月11日资金方向与价格回落基本一致，但不同平台口径存在差异，具体金额不宜延伸</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9月7日约1.00亿元；9月8日约5934万元；9月9日约5346万元；9月10日约4643万元；9月11日约5244万元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回落过程中成交额未连续放大，整体更接近缩量偏弱整理，而非明显恐慌性放量出逃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截至2026年6月30日，前十大流通股东合计持有约1.57亿股，占流通股本约31.86%；披露持仓的61家主力机构合计持有约1.23164亿股，占流通A股约24.92%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机构持仓中其他机构及阳光私募占比较高，基金持仓约856.91万股、占流通股约1.71%；前十大流通股东中安徽澜石企业管理咨询有限公司持股约7235.68万股、占总股本约14.64%。数据为滞后筹码画像，不代表2026年9月11日实时结构</w:t>
            </w:r>
          </w:p>
        </w:tc>
      </w:tr>
    </w:tbl>
    <w:p>
      <w:pPr>
        <w:spacing w:before="200"/>
      </w:pPr>
    </w:p>
    <w:p>
      <w:pPr>
        <w:spacing w:after="160" w:line="300"/>
      </w:pPr>
      <w:r>
        <w:rPr>
          <w:sz w:val="22"/>
          <w:szCs w:val="22"/>
        </w:rPr>
        <w:t xml:space="preserve">截至2026年9月11日，吉峰科技收盘7.97元，较52周高点10.53元低约24.3%，较52周低点7.19元高约10.8%，处于52周区间偏低位置。近期股价自8月28日的8.40元回落至7.97元，且9月7日至9月11日连续四个交易日收盘价下降。当前收盘价低于MA5、MA10和MA20，短期均线偏弱；同时接近布林下轨约7.95元，盘中曾下探至约7.83元。RSI(14)简化计算约44，处于中性偏弱区域，尚未进入传统超卖区。资金面截至9月11日仍显示主力资金净流出，近期成交额总体低于9月7日约1亿元的阶段性放量水平，技术结构尚未出现由量能确认的趋势反转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风险提示：以下内容仅为基于截至2026年9月11日收盘数据、历史价格和技术指标的主观情景推演，不构成投资建议，也不代表对未来股价方向的确定性判断。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8.15~8.20元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对应MA10、MA20及近期反弹密集区；若放量站稳，观察上方8.30~8.40元区域；若反复无法站稳，仍可能回落至8元附近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较强压力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8.30~8.40元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对应9月1日收盘高点8.36元及8月28日前后阶段高位；突破需要成交额明显高于近期约5000万至6000万元常态水平，否则存在冲高回落可能</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7.80~7.95元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包含布林下轨约7.95元及9月11日盘中低点约7.83元；若获得承接并重新站回7.95元上方，可能维持弱势震荡；若有效跌破7.80元，下方观察7.50元附近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7.19~7.50元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7.19元为52周低点，7.50元附近为前期低位及整数关口附近区域；若7.80元支撑失守，价格可能向该区间寻找承接，并进一步接近52周低点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相对权重较高，约六成左右；该权重是基于当前技术、成交量和资金流向的启发式判断，不是统计概率）：价格区间为7.80~8.20元。触发条件为成交额维持约5000万至8000万元，股价在7.80~7.95元附近获得支撑，但暂时无法有效突破8.15~8.20元，且大盘及商贸零售、机械设备等相关板块没有明显单边行情。RSI尚未进入极端超卖区，资金面又没有持续净流入，可能先表现为弱势横盘和技术修复。</w:t>
      </w:r>
    </w:p>
    <w:p>
      <w:pPr>
        <w:pStyle w:val="ListParagraph"/>
        <w:numPr>
          <w:ilvl w:val="0"/>
          <w:numId w:val="2"/>
        </w:numPr>
        <w:spacing w:after="80" w:line="280"/>
      </w:pPr>
      <w:r>
        <w:rPr>
          <w:sz w:val="22"/>
          <w:szCs w:val="22"/>
        </w:rPr>
        <w:t xml:space="preserve">偏弱下行（主观相对权重中等；该权重是基于当前技术、成交量和资金流向的启发式判断，不是统计概率）：价格区间为7.50~7.85元。触发条件为有效跌破7.80~7.95元支撑区，同时成交额放大至8000万元以上且主力资金继续净流出，或市场风险偏好下降、创业板和中小盘股同步走弱。若7.80元附近失守，下一观察区间为7.50元附近，进一步接近52周低点7.19元；若下跌伴随放量，说明抛压可能高于当前缩量整理状态。</w:t>
      </w:r>
    </w:p>
    <w:p>
      <w:pPr>
        <w:pStyle w:val="ListParagraph"/>
        <w:numPr>
          <w:ilvl w:val="0"/>
          <w:numId w:val="2"/>
        </w:numPr>
        <w:spacing w:after="80" w:line="280"/>
      </w:pPr>
      <w:r>
        <w:rPr>
          <w:sz w:val="22"/>
          <w:szCs w:val="22"/>
        </w:rPr>
        <w:t xml:space="preserve">反弹走强（主观相对权重偏低；该权重是基于当前技术、成交量和资金流向的启发式判断，不是统计概率）：价格区间为8.15~8.40元。触发条件为重新站上8.15~8.20元，单日成交额达到8000万元至1亿元以上，随后继续突破8.30~8.40元，同时主力资金由净流出转为连续净流入，相关低空经济、农机或机械设备板块同步走强。只有价格站上MA10、MA20附近并获得量能确认，才更接近短期结构修复；缺乏量能配合时，单日冲高仍可能只是弱势反弹。</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1.34%，成交额约5200万至5300万元；最近几日成交额大多在4600万至6000万元之间，9月7日曾短暂放大至约1亿元。近期价格回落未伴随连续大额放量，整体表现为缩量偏弱整理。股东结构方面，截至2026年6月30日，前十大流通股东合计持股约31.86%，机构合计持股约24.92%，其中其他机构和阳光私募占比较高，基金持仓约1.71%。上述数据距9月11日已有两个多月，期间结构可能发生变化。结合流通市值约39亿元和日换手率约1.34%，盘口流动性属于中等偏低水平；在成交额不足时，买卖盘深度可能有限，单笔大单对盘中价格的影响、滑点和波动可能扩大。</w:t>
      </w:r>
    </w:p>
    <w:p>
      <w:pPr>
        <w:spacing w:after="160" w:line="300"/>
      </w:pPr>
      <w:r>
        <w:rPr>
          <w:sz w:val="22"/>
          <w:szCs w:val="22"/>
        </w:rPr>
        <w:t xml:space="preserve">可检查的量能确认信号是：若后续单日成交额连续达到8000万元至1亿元以上、换手率升至约2%至2.5%，并且股价同步站上8.15~8.20元，可视为资金参与度和技术修复得到量能确认；若成交额持续低于5000万元，则反弹持续性和盘口承接力度仍需谨慎评估。</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观察股价能否重新站上8.15~8.20元均线压力区；以上为观察思路，非操作指令。</w:t>
      </w:r>
    </w:p>
    <w:p>
      <w:pPr>
        <w:pStyle w:val="ListParagraph"/>
        <w:numPr>
          <w:ilvl w:val="0"/>
          <w:numId w:val="2"/>
        </w:numPr>
        <w:spacing w:after="80" w:line="280"/>
      </w:pPr>
      <w:r>
        <w:rPr>
          <w:sz w:val="22"/>
          <w:szCs w:val="22"/>
        </w:rPr>
        <w:t xml:space="preserve">观察7.80~7.95元支撑区是否出现止跌，以及跌破时是否伴随成交额明显放大；以上为观察思路，非操作指令。</w:t>
      </w:r>
    </w:p>
    <w:p>
      <w:pPr>
        <w:pStyle w:val="ListParagraph"/>
        <w:numPr>
          <w:ilvl w:val="0"/>
          <w:numId w:val="2"/>
        </w:numPr>
        <w:spacing w:after="80" w:line="280"/>
      </w:pPr>
      <w:r>
        <w:rPr>
          <w:sz w:val="22"/>
          <w:szCs w:val="22"/>
        </w:rPr>
        <w:t xml:space="preserve">观察8.30~8.40元区域能否放量突破，而非单日冲高回落；以上为观察思路，非操作指令。</w:t>
      </w:r>
    </w:p>
    <w:p>
      <w:pPr>
        <w:pStyle w:val="ListParagraph"/>
        <w:numPr>
          <w:ilvl w:val="0"/>
          <w:numId w:val="2"/>
        </w:numPr>
        <w:spacing w:after="80" w:line="280"/>
      </w:pPr>
      <w:r>
        <w:rPr>
          <w:sz w:val="22"/>
          <w:szCs w:val="22"/>
        </w:rPr>
        <w:t xml:space="preserve">观察主力资金是否由净流出转为至少两个交易日的净流入，并结合成交额连续达到8000万元至1亿元以上的情况综合判断；以上为观察思路，非操作指令。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农机流通行业长期呈现“小散乱”特征，竞争核心包括品牌代理权、区域渠道和门店网络、补贴政策下的终端价格、售后维修与配件供应，以及资金和库存管理能力。农机制造行业则呈现结构性分化：传统品类需求承压、同质化竞争加剧，大型化、智能化、绿色化农机和农用无人机需求相对更具增长潜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公司募集说明书引用的2018年行业数据表明，销售额超过1亿元的经销商仅23家，占比不足10%；销售额前十经销商市场份额合计仅7.74%；销售额低于100万元的经销商超过1.6万家，占全部经销商数量82.21%。该数据时间较早，不能直接代表2025—2026年最新行业集中度。</w:t>
      </w:r>
    </w:p>
    <w:p>
      <w:pPr>
        <w:pStyle w:val="ListParagraph"/>
        <w:numPr>
          <w:ilvl w:val="0"/>
          <w:numId w:val="2"/>
        </w:numPr>
        <w:spacing w:after="80" w:line="280"/>
      </w:pPr>
      <w:r>
        <w:rPr>
          <w:sz w:val="22"/>
          <w:szCs w:val="22"/>
        </w:rPr>
        <w:t xml:space="preserve">除吉峰科技、新疆天农农机、江苏苏欣等少数企业外，多数农机经销商主要在省内或市县范围经营，跨区域网络较少。</w:t>
      </w:r>
    </w:p>
    <w:p>
      <w:pPr>
        <w:pStyle w:val="ListParagraph"/>
        <w:numPr>
          <w:ilvl w:val="0"/>
          <w:numId w:val="2"/>
        </w:numPr>
        <w:spacing w:after="80" w:line="280"/>
      </w:pPr>
      <w:r>
        <w:rPr>
          <w:sz w:val="22"/>
          <w:szCs w:val="22"/>
        </w:rPr>
        <w:t xml:space="preserve">农机流通行业进入壁垒主要包括品牌授权、销售网络、区域服务能力、市场信誉和资金投入；区域性经销商仍可能凭借本地客户关系、单一品牌资源和价格灵活性形成竞争。</w:t>
      </w:r>
    </w:p>
    <w:p>
      <w:pPr>
        <w:pStyle w:val="ListParagraph"/>
        <w:numPr>
          <w:ilvl w:val="0"/>
          <w:numId w:val="2"/>
        </w:numPr>
        <w:spacing w:after="80" w:line="280"/>
      </w:pPr>
      <w:r>
        <w:rPr>
          <w:sz w:val="22"/>
          <w:szCs w:val="22"/>
        </w:rPr>
        <w:t xml:space="preserve">农机制造行业2025年整体需求承压，传统农机品类销量下滑、同质化竞争加剧；大型化、智能化、绿色化农机和农用无人机需求保持增长，行业资源逐步向技术、品牌和服务能力较强的企业集中。</w:t>
      </w:r>
    </w:p>
    <w:p>
      <w:pPr>
        <w:pStyle w:val="ListParagraph"/>
        <w:numPr>
          <w:ilvl w:val="0"/>
          <w:numId w:val="2"/>
        </w:numPr>
        <w:spacing w:after="80" w:line="280"/>
      </w:pPr>
      <w:r>
        <w:rPr>
          <w:sz w:val="22"/>
          <w:szCs w:val="22"/>
        </w:rPr>
        <w:t xml:space="preserve">吉峰科技2025年农机流通收入占比84.82%，低空业务收入占比6.00%，整体盈利模式仍由低毛利农机流通业务主导；农机制造毛利率34.45%，高于农机流通毛利率9.77%，但较2023年生产销售毛利率45.02%下降。</w:t>
      </w:r>
    </w:p>
    <w:p>
      <w:pPr>
        <w:pStyle w:val="ListParagraph"/>
        <w:numPr>
          <w:ilvl w:val="0"/>
          <w:numId w:val="2"/>
        </w:numPr>
        <w:spacing w:after="80" w:line="280"/>
      </w:pPr>
      <w:r>
        <w:rPr>
          <w:sz w:val="22"/>
          <w:szCs w:val="22"/>
        </w:rPr>
        <w:t xml:space="preserve">低空经济竞争者包括无人机制造商、低空基础设施建设商、地方国企平台和专业运营公司。2026年4月公司牵头中标湖北省枝江市低空基础设施及配套场景建设项目EPC工程，中标金额2.89亿元，但该金额不能直接视为已确认收入或利润，仍取决于正式合同、履约进度和后续收入确认。</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江苏苏欣农机连锁有限公司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区域性农机连锁和综合销售服务企业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主要经营大中型拖拉机、收割机、工程机械和汽车等，拥有20余家参控股子公司；主要深耕江苏及周边市场，与吉峰科技相比区域集中度更高。</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新疆天农农机股份有限公司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新疆区域综合农机服务平台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业务涵盖农机生产研发、展示交易、金融支持、物流配送、售后服务和技术培训，渠道密度和本地化服务优势较强；吉峰科技优势在跨区域、多品牌和全国网络。</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第一拖拉机股份有限公司（601038.SH）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大型农机制造商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主要产品包括拖拉机、动力机械及相关零部件，核心品牌为东方红；属于吉峰科技重要代理品牌及供应链合作方，但自身以自主品牌和制造能力为核心。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威马农机股份有限公司（301533.SZ）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山地丘陵农业机械及动力机械制造商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产品包括微耕机、田园管理机、收割机、履带旋耕机、搬运车、发动机、发电机组和水泵等，销售覆盖全球70多个国家和地区；以自主制造、出口和ODM/OEM为主。</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林海股份有限公司（600099.SH）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小型农业机械、通用发动机及林业机械制造商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产品包括小型农机、通用发动机、插秧机、泵及林业机械；偏制造和产品研发，吉峰科技则偏渠道、代理和综合服务。</w:t>
            </w:r>
          </w:p>
        </w:tc>
      </w:tr>
    </w:tbl>
    <w:p>
      <w:pPr>
        <w:spacing w:before="200"/>
      </w:pPr>
    </w:p>
    <w:p>
      <w:pPr>
        <w:spacing w:after="160" w:line="300"/>
      </w:pPr>
      <w:r>
        <w:rPr>
          <w:sz w:val="22"/>
          <w:szCs w:val="22"/>
        </w:rPr>
        <w:t xml:space="preserve">吉峰科技与江苏苏欣、新疆天农更接近农机流通和综合服务类可比公司，与第一拖拉机、威马农机、林海股份则主要在农机产业链或产品销售层面可比。公司核心资产是跨区域品牌授权、门店网络、经销商体系、售后服务能力和客户资源，而非单一农机产品的绝对技术或品牌定价权。其比较优势在全国化、多品牌和综合渠道服务，主要短板是流通业务毛利率较低，并受农机厂商政策、补贴政策、终端需求及库存资金占用影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低空项目收入和利润兑现风险：宿城区项目中标金额约1.49亿元、枝江市项目中标金额2.89亿元，但均不能直接等同于公司已确认收入或利润，仍存在正式合同签署、建设进度、验收、回款和盈利率不及预期的可能。</w:t>
      </w:r>
    </w:p>
    <w:p>
      <w:pPr>
        <w:pStyle w:val="ListParagraph"/>
        <w:numPr>
          <w:ilvl w:val="0"/>
          <w:numId w:val="2"/>
        </w:numPr>
        <w:spacing w:after="80" w:line="280"/>
      </w:pPr>
      <w:r>
        <w:rPr>
          <w:sz w:val="22"/>
          <w:szCs w:val="22"/>
        </w:rPr>
        <w:t xml:space="preserve">关联交易及合作履约风险：公司拟与实际控制人控制的联合飞机相关主体开展不超过2亿元的无人机合作，但截至公告披露日尚未发生相关交易；其中芜湖联合飞机2025年及2026年上半年均处于亏损状态，合作规模、采购价格、项目落地和供应履约能力存在不确定性。</w:t>
      </w:r>
    </w:p>
    <w:p>
      <w:pPr>
        <w:pStyle w:val="ListParagraph"/>
        <w:numPr>
          <w:ilvl w:val="0"/>
          <w:numId w:val="2"/>
        </w:numPr>
        <w:spacing w:after="80" w:line="280"/>
      </w:pPr>
      <w:r>
        <w:rPr>
          <w:sz w:val="22"/>
          <w:szCs w:val="22"/>
        </w:rPr>
        <w:t xml:space="preserve">盈利能力持续偏弱风险：公司2025年归母净利润亏损3121.91万元，2026年上半年归母净利润仅549.48万元，二季度单季利润约127.23万元；同时2025年整体毛利率降至11.72%，若农机流通和制造毛利率继续承压，收入增长可能难以转化为稳定利润。</w:t>
      </w:r>
    </w:p>
    <w:p>
      <w:pPr>
        <w:pStyle w:val="ListParagraph"/>
        <w:numPr>
          <w:ilvl w:val="0"/>
          <w:numId w:val="2"/>
        </w:numPr>
        <w:spacing w:after="80" w:line="280"/>
      </w:pPr>
      <w:r>
        <w:rPr>
          <w:sz w:val="22"/>
          <w:szCs w:val="22"/>
        </w:rPr>
        <w:t xml:space="preserve">农机流通需求和政策风险：公司84.82%的2025年收入来自农机流通，终端需求受粮食价格、农业经营收益、用户现金流和农机补贴政策影响；补贴到账节奏、厂商商务政策或终端价格竞争变化，可能影响销售规模、返利和门店盈利。</w:t>
      </w:r>
    </w:p>
    <w:p>
      <w:pPr>
        <w:pStyle w:val="ListParagraph"/>
        <w:numPr>
          <w:ilvl w:val="0"/>
          <w:numId w:val="2"/>
        </w:numPr>
        <w:spacing w:after="80" w:line="280"/>
      </w:pPr>
      <w:r>
        <w:rPr>
          <w:sz w:val="22"/>
          <w:szCs w:val="22"/>
        </w:rPr>
        <w:t xml:space="preserve">库存及营运资金占用风险：截至2025年末存货6.45亿元、约占2025年营业收入23.3%，流通销售存货周转率3.64次，低于审核回复列示的同行业样本平均水平；预付款项同比增长44.23%至2.06亿元，若销售放缓或项目推进不及预期，可能加大资金占用和库存减值压力。</w:t>
      </w:r>
    </w:p>
    <w:p>
      <w:pPr>
        <w:pStyle w:val="ListParagraph"/>
        <w:numPr>
          <w:ilvl w:val="0"/>
          <w:numId w:val="2"/>
        </w:numPr>
        <w:spacing w:after="80" w:line="280"/>
      </w:pPr>
      <w:r>
        <w:rPr>
          <w:sz w:val="22"/>
          <w:szCs w:val="22"/>
        </w:rPr>
        <w:t xml:space="preserve">估值与盈利不匹配风险：截至2026年9月11日股价7.97元、PB约7.69倍至7.81倍，2026年上半年ROE仅1.08%，且PE-TTM为负；市场对低空业务和利润修复的预期较高，若项目未能按预期放量或盈利预测下修，估值可能面临较大波动。</w:t>
      </w:r>
    </w:p>
    <w:p>
      <w:pPr>
        <w:pStyle w:val="ListParagraph"/>
        <w:numPr>
          <w:ilvl w:val="0"/>
          <w:numId w:val="2"/>
        </w:numPr>
        <w:spacing w:after="80" w:line="280"/>
      </w:pPr>
      <w:r>
        <w:rPr>
          <w:sz w:val="22"/>
          <w:szCs w:val="22"/>
        </w:rPr>
        <w:t xml:space="preserve">定向增发摊薄风险：公司定向发行已获同意注册，但发行数量、价格和募集资金规模尚未最终确定；若发行完成，可能扩大总股本并摊薄每股收益、原股东持股比例及股权结构。</w:t>
      </w:r>
    </w:p>
    <w:p>
      <w:pPr>
        <w:pStyle w:val="ListParagraph"/>
        <w:numPr>
          <w:ilvl w:val="0"/>
          <w:numId w:val="2"/>
        </w:numPr>
        <w:spacing w:after="80" w:line="280"/>
      </w:pPr>
      <w:r>
        <w:rPr>
          <w:sz w:val="22"/>
          <w:szCs w:val="22"/>
        </w:rPr>
        <w:t xml:space="preserve">股价与流动性波动风险：截至2026年9月11日股价低于多条短期均线，主力资金整体呈净流出，日换手率约1.34%，成交额多数在4600万至6000万元之间；在成交不足时，较大买卖单可能放大价格波动，技术支撑和压力位也存在失效可能。</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吉峰科技的增长逻辑主要来自三方面：全国化农机渠道的收入稳定性，吉林康达农机制造业务的产品结构和定价能力修复，以及低空基础设施、无人机代理和农业场景运营的拓展。2026年上半年收入和利润同比改善、经营活动现金流净额达到1.02亿元且同比增长358.50%，显示经营现金流和回款状况有所改善；但预付款项升至2.06亿元、存货仍为6.45亿元，渠道扩张和项目推进仍会占用资金。</w:t>
      </w:r>
    </w:p>
    <w:p>
      <w:pPr>
        <w:spacing w:after="160" w:line="300"/>
      </w:pPr>
      <w:r>
        <w:rPr>
          <w:sz w:val="22"/>
          <w:szCs w:val="22"/>
        </w:rPr>
        <w:t xml:space="preserve">未来业绩弹性取决于低空项目能否从中标和框架合作转化为正式合同、持续交付及可复制的运营收入，同时也取决于农机流通毛利率能否止跌、农机制造盈利能力能否恢复。市场机构对2026—2028年收入和利润预测分歧较大，且公司尚未披露2026年三季度或全年业绩预告，因此现阶段更适合将其理解为处于业务转型和盈利验证期，而非盈利趋势已经明确反转。</w:t>
      </w:r>
    </w:p>
    <w:p>
      <w:pPr>
        <w:spacing w:after="160" w:line="300"/>
      </w:pPr>
      <w:r>
        <w:rPr>
          <w:sz w:val="22"/>
          <w:szCs w:val="22"/>
        </w:rPr>
        <w:t xml:space="preserve">公司已获中国证监会同意向特定对象发行股票注册，但截至2026年9月13日尚未确认完成发行；后续若发行落地，股本扩大可能摊薄每股收益和原股东持股比例。技术面上，7.80—7.95元为近期支撑观察区，8.15—8.20元及8.30—8.40元为上方压力区域，但这些价位仅反映历史价格和指标状态，不能替代对项目执行、盈利质量和估值消化的基本面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吉峰三农科技服务股份有限公司 2025 年半年度报告全文 — https://static.cninfo.com.cn/finalpage/2025-08-27/1224584233.PDF?utm_source=openai</w:t>
      </w:r>
    </w:p>
    <w:p>
      <w:pPr>
        <w:spacing w:after="200"/>
      </w:pPr>
      <w:r>
        <w:rPr>
          <w:i/>
          <w:iCs/>
          <w:color w:val="595959"/>
          <w:sz w:val="18"/>
          <w:szCs w:val="18"/>
        </w:rPr>
        <w:t xml:space="preserve">https://static.cninfo.com.cn/finalpage/2026-04-15/1225103960.PDF — https://static.cninfo.com.cn/finalpage/2026-04-15/1225103960.PDF</w:t>
      </w:r>
    </w:p>
    <w:p>
      <w:pPr>
        <w:spacing w:after="200"/>
      </w:pPr>
      <w:r>
        <w:rPr>
          <w:i/>
          <w:iCs/>
          <w:color w:val="595959"/>
          <w:sz w:val="18"/>
          <w:szCs w:val="18"/>
        </w:rPr>
        <w:t xml:space="preserve">https://static.cninfo.com.cn/finalpage/2026-06-29/1225394944.PDF — https://static.cninfo.com.cn/finalpage/2026-06-29/1225394944.PDF</w:t>
      </w:r>
    </w:p>
    <w:p>
      <w:pPr>
        <w:spacing w:after="200"/>
      </w:pPr>
      <w:r>
        <w:rPr>
          <w:i/>
          <w:iCs/>
          <w:color w:val="595959"/>
          <w:sz w:val="18"/>
          <w:szCs w:val="18"/>
        </w:rPr>
        <w:t xml:space="preserve">吉峰科技(300022)_公司公告_吉峰科技：会计师关于吉峰三农科技服务股份有限公司申请向特定对象发行股票的审核问询函有关事项的回复新浪财经_新浪网 — https://vip.stock.finance.sina.com.cn/corp/view/vCB_AllBulletinDetail.php?id=12417550&amp;stockid=300022&amp;utm_source=openai</w:t>
      </w:r>
    </w:p>
    <w:p>
      <w:pPr>
        <w:spacing w:after="200"/>
      </w:pPr>
      <w:r>
        <w:rPr>
          <w:i/>
          <w:iCs/>
          <w:color w:val="595959"/>
          <w:sz w:val="18"/>
          <w:szCs w:val="18"/>
        </w:rPr>
        <w:t xml:space="preserve">吉峰科技(300022)_公司公告_吉峰科技：会计师关于吉峰三农科技服务股份有限公司申请向特定对象发行股票的审核问询函有关事项的回复新浪财经_新浪网 — https://money.finance.sina.com.cn/corp/view/vCB_AllBulletinDetail.php?id=12417550&amp;stockid=300022&amp;utm_source=openai</w:t>
      </w:r>
    </w:p>
    <w:p>
      <w:pPr>
        <w:spacing w:after="200"/>
      </w:pPr>
      <w:r>
        <w:rPr>
          <w:i/>
          <w:iCs/>
          <w:color w:val="595959"/>
          <w:sz w:val="18"/>
          <w:szCs w:val="18"/>
        </w:rPr>
        <w:t xml:space="preserve">股票简称：300022        股票代码：吉峰科技            编号：2025-037 — https://qxb-pdf-osscache.qixin.com/AnBaseinfo/e6cd81be81dfd92b73f95a180ce6572d.PDF?utm_source=openai</w:t>
      </w:r>
    </w:p>
    <w:p>
      <w:pPr>
        <w:spacing w:after="200"/>
      </w:pPr>
      <w:r>
        <w:rPr>
          <w:i/>
          <w:iCs/>
          <w:color w:val="595959"/>
          <w:sz w:val="18"/>
          <w:szCs w:val="18"/>
        </w:rPr>
        <w:t xml:space="preserve">https://reportdocs.static.szse.cn/UpFiles/rasinfodisc1/202212/RAS_202212_000184C8C7B9EE3FDD864F58EB6AB63F.pdf — https://reportdocs.static.szse.cn/UpFiles/rasinfodisc1/202212/RAS_202212_000184C8C7B9EE3FDD864F58EB6AB63F.pdf</w:t>
      </w:r>
    </w:p>
    <w:p>
      <w:pPr>
        <w:spacing w:after="200"/>
      </w:pPr>
      <w:r>
        <w:rPr>
          <w:i/>
          <w:iCs/>
          <w:color w:val="595959"/>
          <w:sz w:val="18"/>
          <w:szCs w:val="18"/>
        </w:rPr>
        <w:t xml:space="preserve">吉峰科技(300022)_公司公告_吉峰科技：2026年半年度报告摘要新浪财经_新浪网 — https://money.finance.sina.com.cn/corp/view/vCB_AllBulletinDetail.php?id=12526521&amp;stockid=300022&amp;utm_source=openai</w:t>
      </w:r>
    </w:p>
    <w:p>
      <w:pPr>
        <w:spacing w:after="200"/>
      </w:pPr>
      <w:r>
        <w:rPr>
          <w:i/>
          <w:iCs/>
          <w:color w:val="595959"/>
          <w:sz w:val="18"/>
          <w:szCs w:val="18"/>
        </w:rPr>
        <w:t xml:space="preserve">吉峰科技(300022)_公司公告_吉峰科技：2026年半年度报告新浪财经_新浪网 — https://money.finance.sina.com.cn/corp/view/vCB_AllBulletinDetail.php?id=12526517&amp;stockid=300022</w:t>
      </w:r>
    </w:p>
    <w:p>
      <w:pPr>
        <w:spacing w:after="200"/>
      </w:pPr>
      <w:r>
        <w:rPr>
          <w:i/>
          <w:iCs/>
          <w:color w:val="595959"/>
          <w:sz w:val="18"/>
          <w:szCs w:val="18"/>
        </w:rPr>
        <w:t xml:space="preserve">吉峰科技(300022)_公司公告_吉峰科技：2025年年度报告新浪财经_新浪网 — https://vip.stock.finance.sina.com.cn/corp/view/vCB_AllBulletinDetail.php?id=12090175&amp;stockid=300022&amp;utm_source=openai</w:t>
      </w:r>
    </w:p>
    <w:p>
      <w:pPr>
        <w:spacing w:after="200"/>
      </w:pPr>
      <w:r>
        <w:rPr>
          <w:i/>
          <w:iCs/>
          <w:color w:val="595959"/>
          <w:sz w:val="18"/>
          <w:szCs w:val="18"/>
        </w:rPr>
        <w:t xml:space="preserve">吉峰科技(300022) 盈利预测_F10_同花顺金融服务网 — https://basic.10jqka.com.cn/300022/worth.html</w:t>
      </w:r>
    </w:p>
    <w:p>
      <w:pPr>
        <w:spacing w:after="200"/>
      </w:pPr>
      <w:r>
        <w:rPr>
          <w:i/>
          <w:iCs/>
          <w:color w:val="595959"/>
          <w:sz w:val="18"/>
          <w:szCs w:val="18"/>
        </w:rPr>
        <w:t xml:space="preserve">www.fxbaogao.com — https://www.fxbaogao.com/detail/5660786</w:t>
      </w:r>
    </w:p>
    <w:p>
      <w:pPr>
        <w:spacing w:after="200"/>
      </w:pPr>
      <w:r>
        <w:rPr>
          <w:i/>
          <w:iCs/>
          <w:color w:val="595959"/>
          <w:sz w:val="18"/>
          <w:szCs w:val="18"/>
        </w:rPr>
        <w:t xml:space="preserve">吉峰科技(300022) 盈利预测_F10_同花顺金融服务网 — https://basic.10jqka.com.cn/300022/worth.html?utm_source=openai</w:t>
      </w:r>
    </w:p>
    <w:p>
      <w:pPr>
        <w:spacing w:after="200"/>
      </w:pPr>
      <w:r>
        <w:rPr>
          <w:i/>
          <w:iCs/>
          <w:color w:val="595959"/>
          <w:sz w:val="18"/>
          <w:szCs w:val="18"/>
        </w:rPr>
        <w:t xml:space="preserve">西南证券-吉峰科技(300022)国内领先的农机流通连锁企业，引入新实控人-260327.pdf — https://pdf.dfcfw.com/pdf/H3_AP202604071821038463_1.pdf?1775565040000.pdf=</w:t>
      </w:r>
    </w:p>
    <w:p>
      <w:pPr>
        <w:spacing w:after="200"/>
      </w:pPr>
      <w:r>
        <w:rPr>
          <w:i/>
          <w:iCs/>
          <w:color w:val="595959"/>
          <w:sz w:val="18"/>
          <w:szCs w:val="18"/>
        </w:rPr>
        <w:t xml:space="preserve">西南证券：给予吉峰科技增持评级_股票频道_证券之星 — https://stock.stockstar.com/RB2026083100036080.shtml?utm_source=openai</w:t>
      </w:r>
    </w:p>
    <w:p>
      <w:pPr>
        <w:spacing w:after="200"/>
      </w:pPr>
      <w:r>
        <w:rPr>
          <w:i/>
          <w:iCs/>
          <w:color w:val="595959"/>
          <w:sz w:val="18"/>
          <w:szCs w:val="18"/>
        </w:rPr>
        <w:t xml:space="preserve">机构投资评级-股票-新浪财经 — https://stock.finance.sina.com.cn/stock/go.php/vIR_StockSearch/key/300022.phtml?utm_source=openai</w:t>
      </w:r>
    </w:p>
    <w:p>
      <w:pPr>
        <w:spacing w:after="200"/>
      </w:pPr>
      <w:r>
        <w:rPr>
          <w:i/>
          <w:iCs/>
          <w:color w:val="595959"/>
          <w:sz w:val="18"/>
          <w:szCs w:val="18"/>
        </w:rPr>
        <w:t xml:space="preserve">吉峰农机(300022)股票历史数据:历史行情,价格,走势图表_英为财情Investing.com — https://cn.investing.com/equities/gifore-agricultural-machinery-chain-historical-data?utm_source=openai</w:t>
      </w:r>
    </w:p>
    <w:p>
      <w:pPr>
        <w:spacing w:after="200"/>
      </w:pPr>
      <w:r>
        <w:rPr>
          <w:i/>
          <w:iCs/>
          <w:color w:val="595959"/>
          <w:sz w:val="18"/>
          <w:szCs w:val="18"/>
        </w:rPr>
        <w:t xml:space="preserve">吉峰科技(300022)市净率|估值|基本面 - 理杏仁 — https://www.lixinger.com/equity/company/detail/sz/300022/300022/fundamental/valuation/pb?utm_source=openai</w:t>
      </w:r>
    </w:p>
    <w:p>
      <w:pPr>
        <w:spacing w:after="200"/>
      </w:pPr>
      <w:r>
        <w:rPr>
          <w:i/>
          <w:iCs/>
          <w:color w:val="595959"/>
          <w:sz w:val="18"/>
          <w:szCs w:val="18"/>
        </w:rPr>
        <w:t xml:space="preserve">吉峰科技(300022) 股價、新聞、報價和圖表 - 富途牛牛 — https://www.futunn.com/hk/stock/300022-SZ?utm_source=openai</w:t>
      </w:r>
    </w:p>
    <w:p>
      <w:pPr>
        <w:spacing w:after="200"/>
      </w:pPr>
      <w:r>
        <w:rPr>
          <w:i/>
          <w:iCs/>
          <w:color w:val="595959"/>
          <w:sz w:val="18"/>
          <w:szCs w:val="18"/>
        </w:rPr>
        <w:t xml:space="preserve">证券代码：300022  证券简称：吉峰科技  编号：2026-076 — https://static.cninfo.com.cn/finalpage/2026-08-28/1225524631.PDF?utm_source=openai</w:t>
      </w:r>
    </w:p>
    <w:p>
      <w:pPr>
        <w:spacing w:after="200"/>
      </w:pPr>
      <w:r>
        <w:rPr>
          <w:i/>
          <w:iCs/>
          <w:color w:val="595959"/>
          <w:sz w:val="18"/>
          <w:szCs w:val="18"/>
        </w:rPr>
        <w:t xml:space="preserve">吉峰科技: 关于签订合作框架协议暨关联交易预计的公告_公司公告_每日必读_股票_证券之星 — https://wap.stockstar.com/detail/SN2026082500002385?utm_source=openai</w:t>
      </w:r>
    </w:p>
    <w:p>
      <w:pPr>
        <w:spacing w:after="200"/>
      </w:pPr>
      <w:r>
        <w:rPr>
          <w:i/>
          <w:iCs/>
          <w:color w:val="595959"/>
          <w:sz w:val="18"/>
          <w:szCs w:val="18"/>
        </w:rPr>
        <w:t xml:space="preserve">吉峰科技(300022)公司公告_新浪财经_新浪网 — https://money.finance.sina.com.cn/corp/go.php/vCB_AllBulletin/stockid/300022.phtml?ftype=lsgg&amp;utm_source=openai</w:t>
      </w:r>
    </w:p>
    <w:p>
      <w:pPr>
        <w:spacing w:after="200"/>
      </w:pPr>
      <w:r>
        <w:rPr>
          <w:i/>
          <w:iCs/>
          <w:color w:val="595959"/>
          <w:sz w:val="18"/>
          <w:szCs w:val="18"/>
        </w:rPr>
        <w:t xml:space="preserve">吉峰科技(300022)_公司公告_吉峰科技：2026年半年度报告新浪财经_新浪网 — https://vip.stock.finance.sina.com.cn/corp/view/vCB_AllBulletinDetail.php?id=12526517&amp;stockid=300022&amp;utm_source=openai</w:t>
      </w:r>
    </w:p>
    <w:p>
      <w:pPr>
        <w:spacing w:after="200"/>
      </w:pPr>
      <w:r>
        <w:rPr>
          <w:i/>
          <w:iCs/>
          <w:color w:val="595959"/>
          <w:sz w:val="18"/>
          <w:szCs w:val="18"/>
        </w:rPr>
        <w:t xml:space="preserve">吉峰科技(300022)_公司公告_吉峰科技：关于持股5%以上股东及其一致行动人持股比例变动触及1%整数倍暨降至5%并披露简式权益变动报告书的提示性公告新浪财经_新浪网 — https://money.finance.sina.com.cn/corp/view/vCB_AllBulletinDetail.php?id=12367395&amp;stockid=300022&amp;utm_source=openai</w:t>
      </w:r>
    </w:p>
    <w:p>
      <w:pPr>
        <w:spacing w:after="200"/>
      </w:pPr>
      <w:r>
        <w:rPr>
          <w:i/>
          <w:iCs/>
          <w:color w:val="595959"/>
          <w:sz w:val="18"/>
          <w:szCs w:val="18"/>
        </w:rPr>
        <w:t xml:space="preserve">吉峰科技(300022)_股票行情_证券之星 — https://stock.quote.stockstar.com/300022.shtml?utm_source=openai</w:t>
      </w:r>
    </w:p>
    <w:p>
      <w:pPr>
        <w:spacing w:after="200"/>
      </w:pPr>
      <w:r>
        <w:rPr>
          <w:i/>
          <w:iCs/>
          <w:color w:val="595959"/>
          <w:sz w:val="18"/>
          <w:szCs w:val="18"/>
        </w:rPr>
        <w:t xml:space="preserve">吉峰科技(300022)市盈率|估值|基本面 - 理杏仁 — https://www.lixinger.com/equity/company/detail/sz/300022/300022/fundamental/valuation/pe-ttm</w:t>
      </w:r>
    </w:p>
    <w:p>
      <w:pPr>
        <w:spacing w:after="200"/>
      </w:pPr>
      <w:r>
        <w:rPr>
          <w:i/>
          <w:iCs/>
          <w:color w:val="595959"/>
          <w:sz w:val="18"/>
          <w:szCs w:val="18"/>
        </w:rPr>
        <w:t xml:space="preserve">吉峰科技 (300022) 股价和资讯 - Google 财经 — https://www.google.com/finance/beta/quote/300022%3ASHE?hl=zh&amp;utm_source=openai</w:t>
      </w:r>
    </w:p>
    <w:p>
      <w:pPr>
        <w:spacing w:after="200"/>
      </w:pPr>
      <w:r>
        <w:rPr>
          <w:i/>
          <w:iCs/>
          <w:color w:val="595959"/>
          <w:sz w:val="18"/>
          <w:szCs w:val="18"/>
        </w:rPr>
        <w:t xml:space="preserve">吉峰科技(300022)个股分析_牛叉诊股_同花顺财经 — https://doctor.10jqka.com.cn/300022/</w:t>
      </w:r>
    </w:p>
    <w:p>
      <w:pPr>
        <w:spacing w:after="200"/>
      </w:pPr>
      <w:r>
        <w:rPr>
          <w:i/>
          <w:iCs/>
          <w:color w:val="595959"/>
          <w:sz w:val="18"/>
          <w:szCs w:val="18"/>
        </w:rPr>
        <w:t xml:space="preserve">吉峰科技 (300022.SZ) - 沪港通详细行情 Detail Quote — https://www.aastocks.com/sc/cnhk/quote/detail-quote.aspx?shsymbol=300022&amp;utm_source=openai</w:t>
      </w:r>
    </w:p>
    <w:p>
      <w:pPr>
        <w:spacing w:after="200"/>
      </w:pPr>
      <w:r>
        <w:rPr>
          <w:i/>
          <w:iCs/>
          <w:color w:val="595959"/>
          <w:sz w:val="18"/>
          <w:szCs w:val="18"/>
        </w:rPr>
        <w:t xml:space="preserve">吉峰农机(300022)股票最新价格行情,实时走势图,股价分析预测_英为财情Investing.com — https://cn.investing.com/equities/gifore-agricultural-machinery-chain</w:t>
      </w:r>
    </w:p>
    <w:p>
      <w:pPr>
        <w:spacing w:after="200"/>
      </w:pPr>
      <w:r>
        <w:rPr>
          <w:i/>
          <w:iCs/>
          <w:color w:val="595959"/>
          <w:sz w:val="18"/>
          <w:szCs w:val="18"/>
        </w:rPr>
        <w:t xml:space="preserve">9月11日吉峰科技主力资金净流出 近5日震荡持平大盘估值偏低 - 经济观察网 － 专业财经新闻网站 — https://www.eeo.com.cn/2026/0912/1033695.shtml?utm_source=openai</w:t>
      </w:r>
    </w:p>
    <w:p>
      <w:pPr>
        <w:spacing w:after="200"/>
      </w:pPr>
      <w:r>
        <w:rPr>
          <w:i/>
          <w:iCs/>
          <w:color w:val="595959"/>
          <w:sz w:val="18"/>
          <w:szCs w:val="18"/>
        </w:rPr>
        <w:t xml:space="preserve">吉峰科技(300022)个股分析_牛叉诊股_同花顺财经 — https://doctor.10jqka.com.cn/300022/?utm_source=openai</w:t>
      </w:r>
    </w:p>
    <w:p>
      <w:pPr>
        <w:spacing w:after="200"/>
      </w:pPr>
      <w:r>
        <w:rPr>
          <w:i/>
          <w:iCs/>
          <w:color w:val="595959"/>
          <w:sz w:val="18"/>
          <w:szCs w:val="18"/>
        </w:rPr>
        <w:t xml:space="preserve">吉峰科技(300022)股票信息 - 数据平台 — https://data.agoer.com/cms/Index/detail?id=300022&amp;utm_source=openai</w:t>
      </w:r>
    </w:p>
    <w:p>
      <w:pPr>
        <w:spacing w:after="200"/>
      </w:pPr>
      <w:r>
        <w:rPr>
          <w:i/>
          <w:iCs/>
          <w:color w:val="595959"/>
          <w:sz w:val="18"/>
          <w:szCs w:val="18"/>
        </w:rPr>
        <w:t xml:space="preserve">吉峰科技(300022) 最新动态_F10_同花顺金融服务网 — https://basic.10jqka.com.cn/300022/?utm_source=openai</w:t>
      </w:r>
    </w:p>
    <w:p>
      <w:pPr>
        <w:spacing w:after="200"/>
      </w:pPr>
      <w:r>
        <w:rPr>
          <w:i/>
          <w:iCs/>
          <w:color w:val="595959"/>
          <w:sz w:val="18"/>
          <w:szCs w:val="18"/>
        </w:rPr>
        <w:t xml:space="preserve">本报告由AI基于公开渠道信息自动检索、整理并生成，信息截至 截至2026年9月11日收盘；部分股东及机构持仓数据截至2026年6月30日，存在季度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2026-09-13T16:18:03.369Z</dcterms:created>
  <dcterms:modified xsi:type="dcterms:W3CDTF">2026-09-13T16:18:03.369Z</dcterms:modified>
</cp:coreProperties>
</file>

<file path=docProps/custom.xml><?xml version="1.0" encoding="utf-8"?>
<Properties xmlns="http://schemas.openxmlformats.org/officeDocument/2006/custom-properties" xmlns:vt="http://schemas.openxmlformats.org/officeDocument/2006/docPropsVTypes"/>
</file>