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瑞普生物 (300119)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行业：兽用药品制造、动物保健</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数据截至2026年9月11日收盘；部分技术指标为基于公开历史收盘价的近似测算</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瑞普生物2025年实现营业收入33.98亿元，同比增长10.70%，归母净利润4.01亿元，同比增长33.18%；但2026年上半年收入仅同比增长0.75%至17.20亿元，归母净利润同比下降20.43%至2.04亿元，扣非归母净利润同比下降1.81%。公司当前核心矛盾是2025年业绩修复后，2026年上半年收入增长明显放缓、利润承压，全年机构预测能否兑现仍取决于下半年畜禽动保需求和盈利改善。</w:t>
      </w:r>
    </w:p>
    <w:p>
      <w:pPr>
        <w:spacing w:after="160" w:line="300"/>
      </w:pPr>
      <w:r>
        <w:rPr>
          <w:sz w:val="22"/>
          <w:szCs w:val="22"/>
        </w:rPr>
        <w:t xml:space="preserve">公司业务覆盖兽用生物制品、药物制剂及原料药、功能性添加剂、疫控服务和宠物医疗供应链。2025年生物制品收入14.75亿元、毛利率63.71%，是主要利润来源；药物制剂及原料药收入10.50亿元、毛利率35.34%，毛利率继续下行；宠物供应链收入7.82亿元、毛利率14.91%，收入增长较快但盈利能力较低。业务多元化有助于拓展增长空间，但低毛利宠物供应链占比提升可能对综合利润率形成压力。</w:t>
      </w:r>
    </w:p>
    <w:p>
      <w:pPr>
        <w:spacing w:after="160" w:line="300"/>
      </w:pPr>
      <w:r>
        <w:rPr>
          <w:sz w:val="22"/>
          <w:szCs w:val="22"/>
        </w:rPr>
        <w:t xml:space="preserve">公司研发和新业务储备较为丰富：猪流行性腹泻mRNA疫苗已完成临床试验并推进新兽药注册申报，猫传染性腹膜炎mRNA疫苗仍处于临床阶段；万吨级微生物蛋白产业化基地计划于2026年底竣工并试生产，相关产品尚未正式投产和大规模销售。宠物板块2026年上半年收入约4.79亿元，同比增长15.43%，天津中瑞供应链持股比例提升至86%，但新产品、新产能和并购整合对业绩的贡献仍具有不确定性。</w:t>
      </w:r>
    </w:p>
    <w:p>
      <w:pPr>
        <w:spacing w:after="160" w:line="300"/>
      </w:pPr>
      <w:r>
        <w:rPr>
          <w:sz w:val="22"/>
          <w:szCs w:val="22"/>
        </w:rPr>
        <w:t xml:space="preserve">截至2026年9月11日，公司股价收于17.23元，低于MA5、MA10和MA20，较8月中旬高点回撤约13.2%，短线技术面偏弱。17.0—17.3元为第一支撑参考区，16.6—16.9元为较强支撑区域，18.0—18.3元为短期压力区。按市场汇总预测计算，2026—2028年动态市盈率约为17.9倍、14.2倍和11.5倍，但公司当前TTM估值处于自身历史偏高区域，前瞻估值下降依赖机构预测利润兑现。</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300119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瑞普生物股份有限公司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天津自贸试验区（空港经济区）东九道1号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证监会行业分类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医药制造业—兽用药品制造行业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报告数据截至</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2025年12月31日，主要依据2026年3月31日披露的《2025年年度报告》</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33.98亿元，同比增长10.70%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2025年归属于上市公司股东的净利润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4.01亿元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生产体系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11个规模化生产基地、94条生产线；公司官网披露105条生产线，存在统计口径差异，本报告优先采用年报口径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产品与备案</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兽药产品批准文号及饲料添加剂备案超过500个</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兽用生物制品，包括禽用疫苗、畜用疫苗和宠物疫苗</w:t>
      </w:r>
    </w:p>
    <w:p>
      <w:pPr>
        <w:pStyle w:val="ListParagraph"/>
        <w:numPr>
          <w:ilvl w:val="0"/>
          <w:numId w:val="2"/>
        </w:numPr>
        <w:spacing w:after="80" w:line="280"/>
      </w:pPr>
      <w:r>
        <w:rPr>
          <w:sz w:val="22"/>
          <w:szCs w:val="22"/>
        </w:rPr>
        <w:t xml:space="preserve">兽用药物制剂及原料药，包括化学药品、中兽药、消毒剂和清洗剂等</w:t>
      </w:r>
    </w:p>
    <w:p>
      <w:pPr>
        <w:pStyle w:val="ListParagraph"/>
        <w:numPr>
          <w:ilvl w:val="0"/>
          <w:numId w:val="2"/>
        </w:numPr>
        <w:spacing w:after="80" w:line="280"/>
      </w:pPr>
      <w:r>
        <w:rPr>
          <w:sz w:val="22"/>
          <w:szCs w:val="22"/>
        </w:rPr>
        <w:t xml:space="preserve">兽用功能性添加剂</w:t>
      </w:r>
    </w:p>
    <w:p>
      <w:pPr>
        <w:pStyle w:val="ListParagraph"/>
        <w:numPr>
          <w:ilvl w:val="0"/>
          <w:numId w:val="2"/>
        </w:numPr>
        <w:spacing w:after="80" w:line="280"/>
      </w:pPr>
      <w:r>
        <w:rPr>
          <w:sz w:val="22"/>
          <w:szCs w:val="22"/>
        </w:rPr>
        <w:t xml:space="preserve">动物疫病整体防治解决方案，包括检测诊断、疫病监测、免疫程序设计和养殖管理等服务</w:t>
      </w:r>
    </w:p>
    <w:p>
      <w:pPr>
        <w:pStyle w:val="ListParagraph"/>
        <w:numPr>
          <w:ilvl w:val="0"/>
          <w:numId w:val="2"/>
        </w:numPr>
        <w:spacing w:after="80" w:line="280"/>
      </w:pPr>
      <w:r>
        <w:rPr>
          <w:sz w:val="22"/>
          <w:szCs w:val="22"/>
        </w:rPr>
        <w:t xml:space="preserve">宠物医疗供应链及相关服务，包括宠物药品、疫苗、诊疗器械和相关用品</w:t>
      </w:r>
    </w:p>
    <w:p>
      <w:pPr>
        <w:pStyle w:val="ListParagraph"/>
        <w:numPr>
          <w:ilvl w:val="0"/>
          <w:numId w:val="2"/>
        </w:numPr>
        <w:spacing w:after="80" w:line="280"/>
      </w:pPr>
      <w:r>
        <w:rPr>
          <w:sz w:val="22"/>
          <w:szCs w:val="22"/>
        </w:rPr>
        <w:t xml:space="preserve">2025年业务板块收入：生物制品14.75亿元，占43.40%，毛利率63.71%；药物制剂及原料药10.50亿元，占30.90%，毛利率35.34%；宠物供应链7.82亿元，占23.00%，毛利率14.91%；疫控服务0.70亿元，占2.06%</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瑞普生物处于动物保健产业链中游，业务覆盖疫苗、兽用化药、原料药、宠物医疗供应链和动物疫病防控服务，已由单纯销售兽药产品逐步延伸至“产品+检测诊断+疫病监测+养殖管理+供应链”的综合动物健康服务。</w:t>
      </w:r>
    </w:p>
    <w:p>
      <w:pPr>
        <w:pStyle w:val="ListParagraph"/>
        <w:numPr>
          <w:ilvl w:val="0"/>
          <w:numId w:val="2"/>
        </w:numPr>
        <w:spacing w:after="80" w:line="280"/>
      </w:pPr>
      <w:r>
        <w:rPr>
          <w:sz w:val="22"/>
          <w:szCs w:val="22"/>
        </w:rPr>
        <w:t xml:space="preserve">生物制品主要采购菌毒种、细胞培养相关材料、培养基、佐剂、保护剂、抗原纯化材料和包装材料等；化学药物制剂及原料药主要采购化学中间体、原料药合成材料、溶剂、辅料和包材；此外还采购生产设备、实验仪器、检测耗材、工程服务以及宠物医疗产品。</w:t>
      </w:r>
    </w:p>
    <w:p>
      <w:pPr>
        <w:pStyle w:val="ListParagraph"/>
        <w:numPr>
          <w:ilvl w:val="0"/>
          <w:numId w:val="2"/>
        </w:numPr>
        <w:spacing w:after="80" w:line="280"/>
      </w:pPr>
      <w:r>
        <w:rPr>
          <w:sz w:val="22"/>
          <w:szCs w:val="22"/>
        </w:rPr>
        <w:t xml:space="preserve">2025年生物制品原材料占该业务营业成本54.31%，药物制剂及原料药原材料占相关营业成本81.61%，化学药制剂和原料药对原材料价格、采购规模及供应保障更敏感。</w:t>
      </w:r>
    </w:p>
    <w:p>
      <w:pPr>
        <w:pStyle w:val="ListParagraph"/>
        <w:numPr>
          <w:ilvl w:val="0"/>
          <w:numId w:val="2"/>
        </w:numPr>
        <w:spacing w:after="80" w:line="280"/>
      </w:pPr>
      <w:r>
        <w:rPr>
          <w:sz w:val="22"/>
          <w:szCs w:val="22"/>
        </w:rPr>
        <w:t xml:space="preserve">公司实行集团集中采购，统一管理原辅包材、工程服务、设备仪器和耗材，并通过供应商筛选、小试、中试、评级和审计等程序进行管理。</w:t>
      </w:r>
    </w:p>
    <w:p>
      <w:pPr>
        <w:pStyle w:val="ListParagraph"/>
        <w:numPr>
          <w:ilvl w:val="0"/>
          <w:numId w:val="2"/>
        </w:numPr>
        <w:spacing w:after="80" w:line="280"/>
      </w:pPr>
      <w:r>
        <w:rPr>
          <w:sz w:val="22"/>
          <w:szCs w:val="22"/>
        </w:rPr>
        <w:t xml:space="preserve">2025年前五名供应商采购金额为5.21亿元，占年度采购总额31.89%；第一大供应商占12.18%，前五大供应商均不存在关联方采购。</w:t>
      </w:r>
    </w:p>
    <w:p>
      <w:pPr>
        <w:pStyle w:val="ListParagraph"/>
        <w:numPr>
          <w:ilvl w:val="0"/>
          <w:numId w:val="2"/>
        </w:numPr>
        <w:spacing w:after="80" w:line="280"/>
      </w:pPr>
      <w:r>
        <w:rPr>
          <w:sz w:val="22"/>
          <w:szCs w:val="22"/>
        </w:rPr>
        <w:t xml:space="preserve">对普通化学原料、包材和通用辅料，公司具备集团集采和规模采购优势；对高技术含量生物制品原辅材料、进口宠物药品和专用设备，公司更接近价格接受者。年报未披露全部供应商名称及具体采购品类，无法判断某一种原料的单一供应商依赖程度。</w:t>
      </w:r>
    </w:p>
    <w:p>
      <w:pPr>
        <w:pStyle w:val="ListParagraph"/>
        <w:numPr>
          <w:ilvl w:val="0"/>
          <w:numId w:val="2"/>
        </w:numPr>
        <w:spacing w:after="80" w:line="280"/>
      </w:pPr>
      <w:r>
        <w:rPr>
          <w:sz w:val="22"/>
          <w:szCs w:val="22"/>
        </w:rPr>
        <w:t xml:space="preserve">下游客户包括大型养殖集团和规模化养殖场、中小养殖场及经销商、政府强制免疫疫苗采购体系、宠物医院和宠物店、海外代理商及海外养殖和兽医客户。</w:t>
      </w:r>
    </w:p>
    <w:p>
      <w:pPr>
        <w:pStyle w:val="ListParagraph"/>
        <w:numPr>
          <w:ilvl w:val="0"/>
          <w:numId w:val="2"/>
        </w:numPr>
        <w:spacing w:after="80" w:line="280"/>
      </w:pPr>
      <w:r>
        <w:rPr>
          <w:sz w:val="22"/>
          <w:szCs w:val="22"/>
        </w:rPr>
        <w:t xml:space="preserve">2025年直销收入23.53亿元，占比69.23%；经销收入7.50亿元，占比22.08%；政府招标收入1.69亿元，占比4.96%；国际业务收入1.27亿元，占比3.73%。</w:t>
      </w:r>
    </w:p>
    <w:p>
      <w:pPr>
        <w:pStyle w:val="ListParagraph"/>
        <w:numPr>
          <w:ilvl w:val="0"/>
          <w:numId w:val="2"/>
        </w:numPr>
        <w:spacing w:after="80" w:line="280"/>
      </w:pPr>
      <w:r>
        <w:rPr>
          <w:sz w:val="22"/>
          <w:szCs w:val="22"/>
        </w:rPr>
        <w:t xml:space="preserve">2025年前五名客户合计销售额4.64亿元，占年度销售总额13.65%；第一大客户占4.86%，第二大客户占3.21%。该数据为2025年度单年度年报披露数据，客户名称部分采用匿名方式，具体以最新年报为准。</w:t>
      </w:r>
    </w:p>
    <w:p>
      <w:pPr>
        <w:pStyle w:val="ListParagraph"/>
        <w:numPr>
          <w:ilvl w:val="0"/>
          <w:numId w:val="2"/>
        </w:numPr>
        <w:spacing w:after="80" w:line="280"/>
      </w:pPr>
      <w:r>
        <w:rPr>
          <w:sz w:val="22"/>
          <w:szCs w:val="22"/>
        </w:rPr>
        <w:t xml:space="preserve">第二大客户为瑞派宠物医院，公司直接持有瑞派宠物医院约9.09%股权，相关销售具有产业协同意义，同时需要关注关联交易和利益输送风险。</w:t>
      </w:r>
    </w:p>
    <w:p>
      <w:pPr>
        <w:pStyle w:val="ListParagraph"/>
        <w:numPr>
          <w:ilvl w:val="0"/>
          <w:numId w:val="2"/>
        </w:numPr>
        <w:spacing w:after="80" w:line="280"/>
      </w:pPr>
      <w:r>
        <w:rPr>
          <w:sz w:val="22"/>
          <w:szCs w:val="22"/>
        </w:rPr>
        <w:t xml:space="preserve">大型养殖集团集中度提升后可通过招标、框架采购和长期合作压低产品价格；普通化药和部分常规疫苗同质化程度较高，竞争更多体现为价格、渠道和服务；政府招标疫苗的价格和采购节奏受政策影响较大。公司通过疫病监测、检测诊断、免疫程序设计、生物安全体系建设和养殖成本管理提升客户黏性。</w:t>
      </w:r>
    </w:p>
    <w:p>
      <w:pPr>
        <w:pStyle w:val="ListParagraph"/>
        <w:numPr>
          <w:ilvl w:val="0"/>
          <w:numId w:val="2"/>
        </w:numPr>
        <w:spacing w:after="80" w:line="280"/>
      </w:pPr>
      <w:r>
        <w:rPr>
          <w:sz w:val="22"/>
          <w:szCs w:val="22"/>
        </w:rPr>
        <w:t xml:space="preserve">2025年销售商品、提供劳务收到的现金为34.21亿元，高于营业收入33.98亿元；经营活动现金流量净额为2.98亿元，同比下降59.55%。公司年报摘要未直接披露应收账款周转天数，本纪要也未进一步计算应收账款占收入比例，无法据此精确判断付款条件。现有证据显示，公司客户端相对分散，供应商端集中度高于客户端，经营现金流下降则提示产业链资金占用、存货、税费或其他经营性收支变化仍需跟踪。</w:t>
      </w:r>
    </w:p>
    <w:p>
      <w:pPr>
        <w:pStyle w:val="ListParagraph"/>
        <w:numPr>
          <w:ilvl w:val="0"/>
          <w:numId w:val="2"/>
        </w:numPr>
        <w:spacing w:after="80" w:line="280"/>
      </w:pPr>
      <w:r>
        <w:rPr>
          <w:sz w:val="22"/>
          <w:szCs w:val="22"/>
        </w:rPr>
        <w:t xml:space="preserve">供应商集中度高于客户集中度：2025年前五大供应商占采购额31.89%、第一大供应商占12.18%；同期前五大客户占销售额13.65%、第一大客户占4.86%。上述客户和供应商集中度均为2025年度公司年报披露数据，属于单年度官方披露，客户名称和供应商具体品类未完全披露，未能据此判断单一产品或单一客户的深度依赖。</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兽用生物制品65.44%；兽用制剂及原料药39.46%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约16.74%，按归母净利润4.54亿元÷营业收入27.09亿元计算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生物制品和制剂及原料药收入均实现增长，兽用生物制品仍是利润率较高的核心板块。</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兽用生物制品62.77%；兽用制剂及原料药36.67%；宠物供应链14.99%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约9.80%，按归母净利润3.01亿元÷营业收入30.70亿元计算</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动保行业竞争和价格压力使生物制品、药物制剂及原料药毛利率下行；宠物供应链收入占比提升但毛利率较低，拉低综合盈利能力。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生物制品63.71%；药物制剂及原料药35.34%；宠物供应链14.91%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约11.79%，按归母净利润4.01亿元÷营业收入33.98亿元计算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生物制品收入增长、禽用疫苗和畜用生物制品业务改善，推动生物制品毛利率回升；药物制剂及原料药毛利率继续下降，宠物供应链增长较快但仍属低毛利业务。</w:t>
            </w:r>
          </w:p>
        </w:tc>
      </w:tr>
    </w:tbl>
    <w:p>
      <w:pPr>
        <w:spacing w:before="200"/>
      </w:pPr>
    </w:p>
    <w:p>
      <w:pPr>
        <w:spacing w:after="160" w:line="300"/>
      </w:pPr>
      <w:r>
        <w:rPr>
          <w:sz w:val="22"/>
          <w:szCs w:val="22"/>
        </w:rPr>
        <w:t xml:space="preserve">公司位于动物保健产业链中游，属于“综合动保制造+动物健康服务”企业，而非上游资源型或下游消费品牌型公司。利润率主要由高毛利疫苗和创新产品驱动，进一步改善取决于高附加值疫苗和宠物药品占比提升、化药制剂升级、研发成果转化、疫控服务收入增长，以及集采和智能制造带来的原料与生产成本控制。</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17.20亿元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同比上升0.75%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归属于上市公司股东的净利润2.04亿元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同比下降20.43%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33.98亿元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同比增长10.70%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归属于上市公司股东的净利润4.01亿元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同比增长33.18%</w:t>
            </w:r>
          </w:p>
        </w:tc>
      </w:tr>
    </w:tbl>
    <w:p>
      <w:pPr>
        <w:spacing w:after="200"/>
      </w:pPr>
      <w:r>
        <w:rPr>
          <w:i/>
          <w:iCs/>
          <w:color w:val="595959"/>
          <w:sz w:val="18"/>
          <w:szCs w:val="18"/>
        </w:rPr>
        <w:t xml:space="preserve">2026年上半年财务数据来自公司已披露的2026年半年度报告；2025年度数据来自公司年度报告及相关公开资料。2026年上半年扣除非经常性损益后的归母净利润为1.84亿元，同比下降1.81%；基本每股收益为0.4495元。2025年扣非归母净利润约3.04亿元，同比增长8.52%。</w:t>
      </w:r>
    </w:p>
    <w:p>
      <w:pPr>
        <w:spacing w:after="160" w:line="300"/>
      </w:pPr>
      <w:r>
        <w:rPr>
          <w:sz w:val="22"/>
          <w:szCs w:val="22"/>
        </w:rPr>
        <w:t xml:space="preserve">2026年上半年公司营业收入基本稳定，但归母净利润明显下降，扣非归母净利润降幅相对较小，显示利润波动可能受到非经常性损益、投资收益或其他非主营项目影响。同期经营活动产生的现金流量净额为1.94亿元，同比增长43.04%，加权平均净资产收益率为4.27%，同比下降1.36个百分点。宠物业务收入约4.79亿元，同比增长15.43%，仍是增长较快的业务之一；畜禽动保业务受到养殖需求调整及增值税政策变化等因素影响，整体利润承压。与2025年度相比，公司2026年上半年呈现收入低增长、归母利润下降、扣非利润相对稳定的特征。下半年需重点关注畜禽动保需求、产品价格、税收政策以及宠物业务增长情况。</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11日，同花顺F10显示，近6个月内共有16家机构对瑞普生物2026年度业绩作出预测。机构汇总预测显示，2026年营业收入同比增长约8.21%，2027年同比增长约23.26%，2028年同比增长约21.67%。上述数据为机构研报汇总预测，不是公司承诺或监管披露的业绩指引。机构预测存在差异：华泰证券预计2026—2028年归母净利润分别为4.69亿元、6.13亿元和7.85亿元，EPS分别为1.01元、1.32元和1.69元；华安证券预计为4.49亿元、5.30亿元和6.85亿元，EPS分别为0.97元、1.14元和1.47元；浙商证券预计为4.54亿元、5.81亿元和6.82亿元，EPS分别为0.98元、1.25元和1.47元；中邮证券预计为4.33亿元、5.09亿元和6.06亿元，EPS分别为0.93元、1.10元和1.30元。2026年上半年归母净利润同比下降20.43%，实现全年机构预测需要下半年业绩明显改善。</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约36.77亿元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约4.45亿元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约11.14%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约0.96元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约45.33亿元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约5.63亿元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约26.46%</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约55.15亿元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约6.96亿元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约23.68%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约1.50元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目标价23.23元；维持2026—2028年归母净利润预测为4.69亿元、6.13亿元和7.85亿元，对应EPS为1.01元、1.32元和1.69元；估值方法为给予2026年预测市盈率23倍。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同花顺近6个月机构评级统计</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买入16家；增持3家；中性0家；减持0家；卖出0家</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该数据为研报数量统计，不代表所有机构采用同一套盈利预测，也不等同于严格意义上的全市场一致评级。</w:t>
            </w:r>
          </w:p>
        </w:tc>
      </w:tr>
    </w:tbl>
    <w:p>
      <w:pPr>
        <w:spacing w:before="200"/>
      </w:pPr>
    </w:p>
    <w:p>
      <w:pPr>
        <w:spacing w:after="160" w:line="300"/>
      </w:pPr>
      <w:r>
        <w:rPr>
          <w:sz w:val="22"/>
          <w:szCs w:val="22"/>
        </w:rPr>
        <w:t xml:space="preserve">截至2026年9月11日，公司收盘价在17.23—17.26元区间，总市值约80亿元；不同行情数据源存在约0.03元差异。理杏仁数据显示，截至2026年9月10日股价17.82元、总市值约82.82亿元、PE-TTM为23.79倍、PE-TTM历史分位点约80.17%、PB约1.76倍、股息率约2.19%；中财网同期数据显示PE约23.79倍、扣非PE约27.50倍、PB约1.62倍。不同平台因股价时间点、盈利口径及是否扣除非经常性损益，估值数据存在差异。按2026年9月11日约17.23元股价及市场汇总预测EPS计算，2026—2028年动态PE分别约17.9倍、14.2倍和11.5倍；按当前TTM EPS约0.76元估算，静态滚动PE约22.7倍。若采用华泰证券预测EPS，2026—2028年动态PE分别约17.1倍、13.1倍和10.2倍。华泰证券目标价23.23元对应潜在上涨空间约34.8%；早期机构目标价均值24.08元对应潜在上涨空间约39.8%，但该统计时点较早；Investing.com显示的12个月平均目标价为20.41元，对应潜在上涨空间约18.5%，但覆盖分析师数量较少。当前TTM估值处于公司自身历史估值偏高区域，前瞻估值能否下降取决于未来利润是否按机构预测兑现。主要不确定性包括：2026年上半年业绩与全年预测之间存在较大反差；机构对新业务贡献及利润弹性的判断存在差异；不同平台目标价和估值口径不一致；股价与PE数据存在时间差；未来机构预测不构成公司业绩承诺。</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9月11日召开2026年第二次临时股东会</w:t>
      </w:r>
    </w:p>
    <w:p>
      <w:pPr>
        <w:spacing w:after="160" w:line="300"/>
      </w:pPr>
      <w:r>
        <w:rPr>
          <w:sz w:val="22"/>
          <w:szCs w:val="22"/>
        </w:rPr>
        <w:t xml:space="preserve">瑞普生物于2026年9月11日召开2026年第二次临时股东会，会议未出现否决议案，也未涉及变更此前股东会已通过的决议。会议审议通过《关于部分募集资金投资项目结项的议案》和《关于公司及子公司继续开展资产池业务并提供担保的议案》。出席股东106人，代表股份181,075,620股，占公司有表决权股份总数的39.8786%。资产池业务及担保事项后续需关注资产池规模、担保余额及潜在或有负债变化。</w:t>
      </w:r>
    </w:p>
    <w:p>
      <w:pPr>
        <w:pStyle w:val="Heading2"/>
        <w:spacing w:after="120" w:before="240"/>
      </w:pPr>
      <w:r>
        <w:rPr>
          <w:b/>
          <w:bCs/>
          <w:color w:val="2E74B5"/>
          <w:sz w:val="24"/>
          <w:szCs w:val="24"/>
        </w:rPr>
        <w:t xml:space="preserve">4.2 半年报业绩说明会披露mRNA疫苗研发进展</w:t>
      </w:r>
    </w:p>
    <w:p>
      <w:pPr>
        <w:spacing w:after="160" w:line="300"/>
      </w:pPr>
      <w:r>
        <w:rPr>
          <w:sz w:val="22"/>
          <w:szCs w:val="22"/>
        </w:rPr>
        <w:t xml:space="preserve">公司于2026年9月3日通过全景网召开2026年半年度业绩说明会。猪流行性腹泻mRNA疫苗已完成临床试验，正在推进新兽药注册申报；猫传染性腹膜炎mRNA疫苗仍处于临床试验阶段。两款产品上市仍需取得主管部门审批，具体上市时间存在不确定性。</w:t>
      </w:r>
    </w:p>
    <w:p>
      <w:pPr>
        <w:pStyle w:val="Heading2"/>
        <w:spacing w:after="120" w:before="240"/>
      </w:pPr>
      <w:r>
        <w:rPr>
          <w:b/>
          <w:bCs/>
          <w:color w:val="2E74B5"/>
          <w:sz w:val="24"/>
          <w:szCs w:val="24"/>
        </w:rPr>
        <w:t xml:space="preserve">4.3 合成生物项目建设及产品开发进展</w:t>
      </w:r>
    </w:p>
    <w:p>
      <w:pPr>
        <w:spacing w:after="160" w:line="300"/>
      </w:pPr>
      <w:r>
        <w:rPr>
          <w:sz w:val="22"/>
          <w:szCs w:val="22"/>
        </w:rPr>
        <w:t xml:space="preserve">公司披露，万吨级微生物蛋白产业化基地建设有序推进，部分车间土建已完工、设备正在进场，计划于2026年底竣工并试生产。公司已完成80多款菌丝蛋白应用型产品配方定型，部分下游客户处于试用阶段；相关产线尚未正式投产，目前尚未开展大规模对外销售。</w:t>
      </w:r>
    </w:p>
    <w:p>
      <w:pPr>
        <w:pStyle w:val="Heading2"/>
        <w:spacing w:after="120" w:before="240"/>
      </w:pPr>
      <w:r>
        <w:rPr>
          <w:b/>
          <w:bCs/>
          <w:color w:val="2E74B5"/>
          <w:sz w:val="24"/>
          <w:szCs w:val="24"/>
        </w:rPr>
        <w:t xml:space="preserve">4.4 2026年上半年研发投入及产品注册进展</w:t>
      </w:r>
    </w:p>
    <w:p>
      <w:pPr>
        <w:spacing w:after="160" w:line="300"/>
      </w:pPr>
      <w:r>
        <w:rPr>
          <w:sz w:val="22"/>
          <w:szCs w:val="22"/>
        </w:rPr>
        <w:t xml:space="preserve">公司2026年上半年研发投入1.20亿元，同比增长5.54%；同期新增5项新兽药注册证书、授权15项专利、9款产品获得临床审批。上述信息来自公司半年度业绩说明会回复，不完全等同于产品已实现商业化。</w:t>
      </w:r>
    </w:p>
    <w:p>
      <w:pPr>
        <w:pStyle w:val="Heading2"/>
        <w:spacing w:after="120" w:before="240"/>
      </w:pPr>
      <w:r>
        <w:rPr>
          <w:b/>
          <w:bCs/>
          <w:color w:val="2E74B5"/>
          <w:sz w:val="24"/>
          <w:szCs w:val="24"/>
        </w:rPr>
        <w:t xml:space="preserve">4.5 宠物板块披露格拉匹仑及瑞派宠物医院相关信息</w:t>
      </w:r>
    </w:p>
    <w:p>
      <w:pPr>
        <w:spacing w:after="160" w:line="300"/>
      </w:pPr>
      <w:r>
        <w:rPr>
          <w:sz w:val="22"/>
          <w:szCs w:val="22"/>
        </w:rPr>
        <w:t xml:space="preserve">公司表示，自研格拉匹仑已取得二类新兽药证书；瑞派宠物医院为公司参股企业，相关上市进展应以瑞派官方信息为准。宠物新药后续收入兑现及商业化进度仍存在不确定性。</w:t>
      </w:r>
    </w:p>
    <w:p>
      <w:pPr>
        <w:pStyle w:val="Heading2"/>
        <w:spacing w:after="120" w:before="240"/>
      </w:pPr>
      <w:r>
        <w:rPr>
          <w:b/>
          <w:bCs/>
          <w:color w:val="2E74B5"/>
          <w:sz w:val="24"/>
          <w:szCs w:val="24"/>
        </w:rPr>
        <w:t xml:space="preserve">4.6 股东户数及股权质押情况</w:t>
      </w:r>
    </w:p>
    <w:p>
      <w:pPr>
        <w:spacing w:after="160" w:line="300"/>
      </w:pPr>
      <w:r>
        <w:rPr>
          <w:sz w:val="22"/>
          <w:szCs w:val="22"/>
        </w:rPr>
        <w:t xml:space="preserve">截至2026年8月31日，公司股东户数为21,756户，较上期减少204户，该数据来自东方财富个股日历。数据显示，截至2026年9月11日，公司股权质押总比例为12.97%，质押总股数约6,030万股，质押笔数4笔；截至该日期，尚未检索到9月新增大额质押或明显解除质押公告。相关数据建议进一步以中国结算或巨潮资讯网公告核验。</w:t>
      </w:r>
    </w:p>
    <w:p>
      <w:pPr>
        <w:pStyle w:val="Heading2"/>
        <w:spacing w:after="120" w:before="240"/>
      </w:pPr>
      <w:r>
        <w:rPr>
          <w:b/>
          <w:bCs/>
          <w:color w:val="2E74B5"/>
          <w:sz w:val="24"/>
          <w:szCs w:val="24"/>
        </w:rPr>
        <w:t xml:space="preserve">4.7 两款禽流感疫苗通过生产用毒种变更备案审查</w:t>
      </w:r>
    </w:p>
    <w:p>
      <w:pPr>
        <w:spacing w:after="160" w:line="300"/>
      </w:pPr>
      <w:r>
        <w:rPr>
          <w:sz w:val="22"/>
          <w:szCs w:val="22"/>
        </w:rPr>
        <w:t xml:space="preserve">公司于2026年8月31日公告，禽流感重组鸭瘟病毒载体二价活疫苗（H5亚型，rDEV-15株+rDEV-16株）及禽流感重组鸭瘟病毒载体活疫苗（H5亚型，rDEV-16株）通过农业农村部组织的生产用毒种变更备案审查。相关产品上市前仍需取得兽药产品批准文号，短期收入贡献尚不能确定。</w:t>
      </w:r>
    </w:p>
    <w:p>
      <w:pPr>
        <w:pStyle w:val="Heading2"/>
        <w:spacing w:after="120" w:before="240"/>
      </w:pPr>
      <w:r>
        <w:rPr>
          <w:b/>
          <w:bCs/>
          <w:color w:val="2E74B5"/>
          <w:sz w:val="24"/>
          <w:szCs w:val="24"/>
        </w:rPr>
        <w:t xml:space="preserve">4.8 董事、总经理徐雷增持50万股</w:t>
      </w:r>
    </w:p>
    <w:p>
      <w:pPr>
        <w:spacing w:after="160" w:line="300"/>
      </w:pPr>
      <w:r>
        <w:rPr>
          <w:sz w:val="22"/>
          <w:szCs w:val="22"/>
        </w:rPr>
        <w:t xml:space="preserve">2026年6月16日，董事、总经理徐雷通过大宗交易增持公司股份50万股，成交均价14.00元/股，成交金额约700万元，占公司总股本约0.11%、占流通股比例约0.15%。同期，持股5%以上股东梁武的一致行动人盛利娜向徐雷转让50万股。该交易计划已完成，但交易规模相对于公司总股本较小，不能单独视为公司基本面发生重大变化。</w:t>
      </w:r>
    </w:p>
    <w:p>
      <w:pPr>
        <w:pStyle w:val="Heading2"/>
        <w:spacing w:after="120" w:before="240"/>
      </w:pPr>
      <w:r>
        <w:rPr>
          <w:b/>
          <w:bCs/>
          <w:color w:val="2E74B5"/>
          <w:sz w:val="24"/>
          <w:szCs w:val="24"/>
        </w:rPr>
        <w:t xml:space="preserve">4.9 收购天津中瑞供应链30%股权完成工商变更</w:t>
      </w:r>
    </w:p>
    <w:p>
      <w:pPr>
        <w:spacing w:after="160" w:line="300"/>
      </w:pPr>
      <w:r>
        <w:rPr>
          <w:sz w:val="22"/>
          <w:szCs w:val="22"/>
        </w:rPr>
        <w:t xml:space="preserve">公司于2026年6月10日审议通过收购瑞派宠物医院管理股份有限公司持有的天津中瑞供应链管理有限公司30%股权，交易金额为6,586.50万元；2026年6月22日公告相关工商变更登记已完成。交易完成后，公司对中瑞供应链的持股比例由56%提升至86%，瑞派宠物医院不再直接持有中瑞供应链股权，骐瑞企业管理（天津）合伙企业持股14%。</w:t>
      </w:r>
    </w:p>
    <w:p>
      <w:pPr>
        <w:pStyle w:val="Heading2"/>
        <w:spacing w:after="120" w:before="240"/>
      </w:pPr>
      <w:r>
        <w:rPr>
          <w:b/>
          <w:bCs/>
          <w:color w:val="2E74B5"/>
          <w:sz w:val="24"/>
          <w:szCs w:val="24"/>
        </w:rPr>
        <w:t xml:space="preserve">4.10 设立并购产业基金</w:t>
      </w:r>
    </w:p>
    <w:p>
      <w:pPr>
        <w:spacing w:after="160" w:line="300"/>
      </w:pPr>
      <w:r>
        <w:rPr>
          <w:sz w:val="22"/>
          <w:szCs w:val="22"/>
        </w:rPr>
        <w:t xml:space="preserve">公司2026年半年度报告披露，瑞普生物于2026年2月与相关方共同设立江苏国泰海通瑞普并购产业基金合伙企业，基金聚焦动物保健、合成生物、宠物和生物医药等领域开展产业投资。截至2026年9月13日，尚未检索到该并购基金在9月形成新的重大投资或具体并购落地公告。</w:t>
      </w:r>
    </w:p>
    <w:p>
      <w:pPr>
        <w:pStyle w:val="Heading2"/>
        <w:spacing w:after="120" w:before="240"/>
      </w:pPr>
      <w:r>
        <w:rPr>
          <w:b/>
          <w:bCs/>
          <w:color w:val="2E74B5"/>
          <w:sz w:val="24"/>
          <w:szCs w:val="24"/>
        </w:rPr>
        <w:t xml:space="preserve">4.11 截至9月13日未发现新的业绩预告</w:t>
      </w:r>
    </w:p>
    <w:p>
      <w:pPr>
        <w:spacing w:after="160" w:line="300"/>
      </w:pPr>
      <w:r>
        <w:rPr>
          <w:sz w:val="22"/>
          <w:szCs w:val="22"/>
        </w:rPr>
        <w:t xml:space="preserve">截至2026年9月13日，未发现公司在2026年9月发布新的业绩预告或业绩预警公告。公司最近的重要业绩信息为2026年半年度报告：上半年营业收入17.20亿元，同比增长0.75%；归属于上市公司股东的净利润2.04亿元，同比下降20.43%；扣除非经常性损益后的净利润1.84亿元，同比下降1.81%。上述信息属于定期报告，不是业绩预告。</w:t>
      </w:r>
    </w:p>
    <w:p>
      <w:pPr>
        <w:pStyle w:val="Heading2"/>
        <w:spacing w:after="120" w:before="240"/>
      </w:pPr>
      <w:r>
        <w:rPr>
          <w:b/>
          <w:bCs/>
          <w:color w:val="2E74B5"/>
          <w:sz w:val="24"/>
          <w:szCs w:val="24"/>
        </w:rPr>
        <w:t xml:space="preserve">4.12 截至9月13日未发现新增股份回购公告</w:t>
      </w:r>
    </w:p>
    <w:p>
      <w:pPr>
        <w:spacing w:after="160" w:line="300"/>
      </w:pPr>
      <w:r>
        <w:rPr>
          <w:sz w:val="22"/>
          <w:szCs w:val="22"/>
        </w:rPr>
        <w:t xml:space="preserve">截至2026年9月13日，未检索到公司在2026年9月发布新的股份回购方案、回购进展公告或回购用途变更公告。公司此前存在股份回购及库存股安排，2026年9月11日临时股东会公告仍显示公司回购专户持有股份，后续需关注库存股处置、注销或员工激励安排。</w:t>
      </w:r>
    </w:p>
    <w:p>
      <w:pPr>
        <w:pStyle w:val="Heading2"/>
        <w:spacing w:after="120" w:before="240"/>
      </w:pPr>
      <w:r>
        <w:rPr>
          <w:b/>
          <w:bCs/>
          <w:color w:val="2E74B5"/>
          <w:sz w:val="24"/>
          <w:szCs w:val="24"/>
        </w:rPr>
        <w:t xml:space="preserve">4.13 截至9月13日未发现重大监管处罚事项</w:t>
      </w:r>
    </w:p>
    <w:p>
      <w:pPr>
        <w:spacing w:after="160" w:line="300"/>
      </w:pPr>
      <w:r>
        <w:rPr>
          <w:sz w:val="22"/>
          <w:szCs w:val="22"/>
        </w:rPr>
        <w:t xml:space="preserve">截至2026年9月13日，未检索到瑞普生物在2026年9月被交易所采取纪律处分、行政监管措施或受到重大处罚的公告。近期监管政策相关事项主要为两款禽流感疫苗通过农业农村部生产用毒种变更备案审查，但产品正式上市仍需取得兽药产品批准文号。</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股票简称及上市板块</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瑞普生物，A股代码300119，深圳证券交易所创业板上市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17.23元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较前一交易日下跌0.59元，跌幅3.31%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开盘17.71元，最高17.77元，最低17.08元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39,504手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成交额及换手率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成交额约6,811.03万元，换手率1.17%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总市值约80.08亿元，流通市值约58.33亿元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52周高点22.96元，52周低点13.91元；当前收盘价较高点低约25%，较低点高约24%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2026年8月12日收盘19.84元，9月11日收盘17.23元，期间回撤约13.2%；股价自8月26日阶段低点16.85元反弹至9月7日18.18元后重新回落约5.2%</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约17.87元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9月11日收盘价低于MA5，短线价格弱于5日均线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约17.70元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9月11日收盘价低于MA10，17.7元附近由短期支撑转为反弹压力参考区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约17.79元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9月11日收盘价低于MA20，短期趋势由前期反弹转弱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中轨约17.79元，上轨约18.94元，下轨约16.64元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收盘价位于布林中轨下方、下轨上方，进入通道偏弱区域，但尚未明显跌破下轨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2026年8月28日为38.7；基于8月下旬至9月11日收盘价重新估算约在中低40附近</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处于中低位但尚未进入极端超卖区；若继续跌破17元并连续收低，RSI可能进一步向30附近靠拢</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当前具体DIF、DEA及柱状线数值缺失；可检索页面的MACD(12,26)为0.000，但数据日期为2026年8月20日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该数值早于本次基准日，不能代表2026年9月11日状态；从价格跌破MA5、MA10和MA20的结构看，短期动能较8月下旬反弹阶段有所减弱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约19.6—20.1倍</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为行情供应商口径数据，会随股价及盈利预测更新而变化，并非公司定期报告直接披露的数据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2026年8月31日至9月4日分别净流出约313.76万元、26.29万元，净流入约858.72万元，净流出约1,201.72万元，净流入约959.43万元；5个交易日合计约净流入276万元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日间波动较大，呈现反复和分化，不能据此认定形成持续性资金流入趋势；9月5日至9月11日同口径数据缺失</w:t>
            </w:r>
          </w:p>
        </w:tc>
      </w:tr>
    </w:tbl>
    <w:p>
      <w:pPr>
        <w:spacing w:before="200"/>
      </w:pPr>
    </w:p>
    <w:p>
      <w:pPr>
        <w:spacing w:after="160" w:line="300"/>
      </w:pPr>
      <w:r>
        <w:rPr>
          <w:sz w:val="22"/>
          <w:szCs w:val="22"/>
        </w:rPr>
        <w:t xml:space="preserve">瑞普生物股价在2026年8月中旬冲高后回落，9月初反弹后再次走弱。9月11日收盘17.23元，低于MA5、MA10和MA20，且收盘接近当日低位，短线卖压有所增强。技术上，17.0—17.3元为第一支撑参考区，16.6—16.9元接近布林下轨及8月26日阶段低点，属于较强支撑区域；18.0—18.3元为短期压力区，18.8—19.0元对应更上方压力参考。RSI6尚未进入极端超卖区，MACD当前具体数值因缺少可核验的完整近期数据而无法确认。近期成交额主要位于6,000万—1亿元之间，9月7日曾放量至约1.53亿元，但随后回落，9月11日下跌时成交额未同步显著放大，暂未形成放量下跌或放量突破的强确认信号。</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风险提示：以下内容仅为基于价格、成交量、均线和资金流向的主观情景推演，不构成投资建议，也不构成对未来实际走势的保证。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18.0—18.3元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对应MA5、MA10附近及近期高点区域；若重新站上18.3元且成交额连续放大，短期上方可参考18.8—19.0元区域；若反弹至该区间后缩量回落，则仍偏向弱势反抽</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17.0—17.3元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对应9月11日最低价17.08元、8月28日收盘价17.30元及近期成交密集区；若有效跌破17.0元，下方将测试16.6—16.9元区域</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16.6—16.9元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接近布林下轨约16.64元及8月26日阶段性低点16.85元；若16.6元附近也被有效跌破，短线结构将进一步转弱，后续可能重新测试52周低点13.91元与阶段性低位之间的更大区间，但这不是基准情景</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和资金结构的主观启发式判断，不是统计概率）：价格区间约17.0—18.3元。触发条件包括股价在17.0—17.3元附近获得支撑、成交额维持约6,000万—1亿元、未出现连续两日有效跌破17元，且医药、生物制品或动物保健板块没有明显集体走弱。在该情景下，股价可能围绕17.7—17.9元的MA10/MA20区域反复，表现为下跌后的弱势修复或箱体震荡</w:t>
      </w:r>
    </w:p>
    <w:p>
      <w:pPr>
        <w:pStyle w:val="ListParagraph"/>
        <w:numPr>
          <w:ilvl w:val="0"/>
          <w:numId w:val="2"/>
        </w:numPr>
        <w:spacing w:after="80" w:line="280"/>
      </w:pPr>
      <w:r>
        <w:rPr>
          <w:sz w:val="22"/>
          <w:szCs w:val="22"/>
        </w:rPr>
        <w:t xml:space="preserve">偏弱下行（权重中等；为基于当前技术和资金结构的主观启发式判断，不是统计概率）：价格区间约16.6—17.0元。触发条件包括收盘价有效跌破17.0元、成交额较近期正常水平明显放大、主力资金连续多个交易日净流出，且医药制造或动物保健板块同步走弱。若出现上述组合，价格可能向布林下轨约16.6元及8月26日阶段低点16.85元靠拢；若16.6元附近仍无承接，短期技术面将转为更明显的空头排列</w:t>
      </w:r>
    </w:p>
    <w:p>
      <w:pPr>
        <w:pStyle w:val="ListParagraph"/>
        <w:numPr>
          <w:ilvl w:val="0"/>
          <w:numId w:val="2"/>
        </w:numPr>
        <w:spacing w:after="80" w:line="280"/>
      </w:pPr>
      <w:r>
        <w:rPr>
          <w:sz w:val="22"/>
          <w:szCs w:val="22"/>
        </w:rPr>
        <w:t xml:space="preserve">反弹走强（权重偏低至中等；为基于当前技术和资金结构的主观启发式判断，不是统计概率）：价格区间约18.3—19.0元。触发条件包括股价重新突破18.3元、成交额连续至少两日达到约8,500万元以上、主力资金重新出现较明显净流入，以及行业板块或公司出现能够改善市场预期的催化因素。若放量突破18.3元，上方压力可参考18.8—19.0元，对应布林上轨约18.94元及8月中旬成交密集区；若缺少成交量配合，仅凭低位反弹触及18元附近，持续性仍需观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成交额约6,811万元，换手率1.17%；近期交易日成交额主要位于约6,000万—1亿元，换手率约1.03%—1.58%，9月7日成交额约1.53亿元、换手率2.51%。截至2026年8月31日，股东总户数为21,756户；截至2026年6月30日，前十大股东累计持股约2.49亿股，占总股本约53.59%。前十大股东中既有实际控制人及自然人股东，也有国泰中证畜牧养殖ETF、全国社保基金六零四组合及私募基金，说明公司并非完全由自然人股东主导；但实际控制人及核心自然人持股占比较高，筹码集中度较高，实际流通盘小于总股本。前十大股东数据截至2026年6月30日，具有季度滞后性，当前持仓结构可能已经变化，不能视为2026年9月11日的实时结构。公司截至2026年9月11日质押股份约6,030万股，质押比例约12.97%，该数据不能简单等同于短期减持压力。结合近期成交额和换手率，股票并非高流动性品种，实际交易中需关注成交不足时的承接能力及价格波动；但仅凭现有数据无法进一步量化盘口深度或滑点。</w:t>
      </w:r>
    </w:p>
    <w:p>
      <w:pPr>
        <w:spacing w:after="160" w:line="300"/>
      </w:pPr>
      <w:r>
        <w:rPr>
          <w:sz w:val="22"/>
          <w:szCs w:val="22"/>
        </w:rPr>
        <w:t xml:space="preserve">可检查的成交量确认信号是：若未来一周单日成交额连续两日达到约8,500万元以上，并同时站回18.3元，可视为短线资金重新增强、反弹有效性提升的确认信号；若跌破17元时成交额低于约6,000万元，则更接近缩量走弱，仍需观察16.6—16.9元支撑区的承接力度。</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观察思路，非操作指令：关注17.0—17.3元区域能否止跌，以及16.6—16.9元区域是否出现明显承接</w:t>
      </w:r>
    </w:p>
    <w:p>
      <w:pPr>
        <w:pStyle w:val="ListParagraph"/>
        <w:numPr>
          <w:ilvl w:val="0"/>
          <w:numId w:val="2"/>
        </w:numPr>
        <w:spacing w:after="80" w:line="280"/>
      </w:pPr>
      <w:r>
        <w:rPr>
          <w:sz w:val="22"/>
          <w:szCs w:val="22"/>
        </w:rPr>
        <w:t xml:space="preserve">观察思路，非操作指令：关注18.0—18.3元压力区能否有效突破，以及是否伴随成交额连续两日达到约8,500万元以上</w:t>
      </w:r>
    </w:p>
    <w:p>
      <w:pPr>
        <w:pStyle w:val="ListParagraph"/>
        <w:numPr>
          <w:ilvl w:val="0"/>
          <w:numId w:val="2"/>
        </w:numPr>
        <w:spacing w:after="80" w:line="280"/>
      </w:pPr>
      <w:r>
        <w:rPr>
          <w:sz w:val="22"/>
          <w:szCs w:val="22"/>
        </w:rPr>
        <w:t xml:space="preserve">观察思路，非操作指令：关注主力资金是否由2026年9月初的反复状态转为连续净流入；9月5日至9月11日同口径主力资金数据目前缺失</w:t>
      </w:r>
    </w:p>
    <w:p>
      <w:pPr>
        <w:pStyle w:val="ListParagraph"/>
        <w:numPr>
          <w:ilvl w:val="0"/>
          <w:numId w:val="2"/>
        </w:numPr>
        <w:spacing w:after="80" w:line="280"/>
      </w:pPr>
      <w:r>
        <w:rPr>
          <w:sz w:val="22"/>
          <w:szCs w:val="22"/>
        </w:rPr>
        <w:t xml:space="preserve">观察思路，非操作指令：关注9月11日后收盘价是否继续低于MA5、MA10和MA20</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兽药产业企业数量较多，销售额和利润正向大型企业集中。根据中国兽药协会《2024年度兽药产业发展报告》，截至2024年末中国兽药产业销售额为679.96亿元，平均毛利率为28.21%，全国共有1,681家兽药企业。该行业数据为瑞普生物2025年年报引用口径，本纪要未单独取得报告原文。</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截至2024年末，生物制品企业196家，销售额154.01亿元；25家大型企业销售额占生物制品行业64.95%，毛利占比71.62%。</w:t>
      </w:r>
    </w:p>
    <w:p>
      <w:pPr>
        <w:pStyle w:val="ListParagraph"/>
        <w:numPr>
          <w:ilvl w:val="0"/>
          <w:numId w:val="2"/>
        </w:numPr>
        <w:spacing w:after="80" w:line="280"/>
      </w:pPr>
      <w:r>
        <w:rPr>
          <w:sz w:val="22"/>
          <w:szCs w:val="22"/>
        </w:rPr>
        <w:t xml:space="preserve">截至2024年末，化药企业1,485家，销售额525.95亿元；75家大型企业销售额占化药行业57.40%，毛利占比57.58%。</w:t>
      </w:r>
    </w:p>
    <w:p>
      <w:pPr>
        <w:pStyle w:val="ListParagraph"/>
        <w:numPr>
          <w:ilvl w:val="0"/>
          <w:numId w:val="2"/>
        </w:numPr>
        <w:spacing w:after="80" w:line="280"/>
      </w:pPr>
      <w:r>
        <w:rPr>
          <w:sz w:val="22"/>
          <w:szCs w:val="22"/>
        </w:rPr>
        <w:t xml:space="preserve">生物制品行业集中度高于化药行业，技术、资质、质量体系、研发能力和生物安全要求构成较高进入壁垒；化药企业数量更多，同质化和价格竞争更明显。</w:t>
      </w:r>
    </w:p>
    <w:p>
      <w:pPr>
        <w:pStyle w:val="ListParagraph"/>
        <w:numPr>
          <w:ilvl w:val="0"/>
          <w:numId w:val="2"/>
        </w:numPr>
        <w:spacing w:after="80" w:line="280"/>
      </w:pPr>
      <w:r>
        <w:rPr>
          <w:sz w:val="22"/>
          <w:szCs w:val="22"/>
        </w:rPr>
        <w:t xml:space="preserve">行业竞争由单一产品竞争转向新型疫苗和基因工程等技术、产品质量与生物安全、大客户渠道、综合疫病防控服务、全链条成本控制、宠物健康及海外注册等多维度竞争。</w:t>
      </w:r>
    </w:p>
    <w:p>
      <w:pPr>
        <w:pStyle w:val="ListParagraph"/>
        <w:numPr>
          <w:ilvl w:val="0"/>
          <w:numId w:val="2"/>
        </w:numPr>
        <w:spacing w:after="80" w:line="280"/>
      </w:pPr>
      <w:r>
        <w:rPr>
          <w:sz w:val="22"/>
          <w:szCs w:val="22"/>
        </w:rPr>
        <w:t xml:space="preserve">强制免疫疫苗采购逐步向“先打后补”和市场化转变，企业需要通过产品质量、品牌、服务和大型养殖集团渠道应对政府采购占比变化。瑞普生物2025年政府招标收入占比4.96%，直销和经销合计占比超过91%。</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生物股份（600201）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以兽用生物制品为主，覆盖猪、禽、反刍和宠物疫苗。</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重大动物疫病疫苗和规模化疫苗生产能力突出，研发平台和智能制造能力较强；相较瑞普生物，业务更聚焦动物疫苗，宠物供应链和兽用化药布局相对弱。</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中牧股份（600195）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综合型动物保健和动物营养企业，业务包括兽用生物制品、兽用化药、饲料及饲料添加剂、贸易等。</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业务规模、产品广度、渠道和产业链综合能力较强；相较瑞普生物，业务更加多元，瑞普生物在兽用生物制品、兽用制剂及宠物医疗供应链方面更集中。</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普莱柯（603566）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主要从事兽用药品研发、生产和销售，覆盖猪用疫苗、禽用疫苗及抗体、反刍动物疫苗、宠物疫苗和化学药品。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产品研发和兽用疫苗业务集中度较高，推进宠物疫苗和功能性保健品；相较瑞普生物，规模较小、业务更聚焦疫苗和兽用药品。</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科前生物（688526）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主要从事兽用生物制品研发、生产、销售及动物防疫技术服务，主要产品为非国家强制免疫猪用疫苗和禽用疫苗。</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猪用疫苗、动物防疫服务和研发能力较突出；相较瑞普生物，更聚焦猪用和禽用生物制品，瑞普生物在化药、原料药、宠物供应链及综合动物健康服务方面更为多元。</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金河生物（002688）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业务涉及兽用化学药品、动物疫苗、饲料添加剂等，在泰妙菌素等兽用抗菌药和原料药领域具有一定竞争力。</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与瑞普生物的制剂及原料药业务存在直接竞争，但瑞普生物的生物制品、禽用疫苗、宠物业务和综合疫病解决方案布局更完整。</w:t>
            </w:r>
          </w:p>
        </w:tc>
      </w:tr>
    </w:tbl>
    <w:p>
      <w:pPr>
        <w:spacing w:before="200"/>
      </w:pPr>
    </w:p>
    <w:p>
      <w:pPr>
        <w:spacing w:after="160" w:line="300"/>
      </w:pPr>
      <w:r>
        <w:rPr>
          <w:sz w:val="22"/>
          <w:szCs w:val="22"/>
        </w:rPr>
        <w:t xml:space="preserve">瑞普生物的竞争定位介于专业疫苗企业与综合动物保健企业之间：相较生物股份、普莱柯和科前生物，公司业务矩阵更广，覆盖化药、原料药、宠物供应链和综合疫病服务；相较中牧股份，公司更集中于兽用生物制品、兽用制剂及宠物医疗相关业务；金河生物则主要在兽用化药和原料药领域与公司形成业务重合。上述公司为业务可比对象，不能仅按总收入进行简单横向比较，具体竞争梯队会随统计口径、年度收入和产品分类变化。</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2026年上半年公司收入同比仅增长0.75%，归母净利润同比下降20.43%，而机构对全年归母净利润的汇总预测约为4.45亿元；若下半年畜禽动保需求、产品价格或盈利能力未改善，全年预测可能难以兑现。</w:t>
      </w:r>
    </w:p>
    <w:p>
      <w:pPr>
        <w:pStyle w:val="ListParagraph"/>
        <w:numPr>
          <w:ilvl w:val="0"/>
          <w:numId w:val="2"/>
        </w:numPr>
        <w:spacing w:after="80" w:line="280"/>
      </w:pPr>
      <w:r>
        <w:rPr>
          <w:sz w:val="22"/>
          <w:szCs w:val="22"/>
        </w:rPr>
        <w:t xml:space="preserve">药物制剂及原料药业务2025年收入10.50亿元、毛利率35.34%，毛利率较2024年继续下降；该业务原材料占相关营业成本81.61%，若化学中间体、原料药合成材料或包材价格上升，可能进一步压缩利润。</w:t>
      </w:r>
    </w:p>
    <w:p>
      <w:pPr>
        <w:pStyle w:val="ListParagraph"/>
        <w:numPr>
          <w:ilvl w:val="0"/>
          <w:numId w:val="2"/>
        </w:numPr>
        <w:spacing w:after="80" w:line="280"/>
      </w:pPr>
      <w:r>
        <w:rPr>
          <w:sz w:val="22"/>
          <w:szCs w:val="22"/>
        </w:rPr>
        <w:t xml:space="preserve">公司前五大供应商采购额占年度采购总额31.89%，第一大供应商占12.18%，供应商集中度高于客户集中度；同时年报未披露全部供应商名称及具体采购品类，单一原料或供应商依赖程度仍无法充分判断。</w:t>
      </w:r>
    </w:p>
    <w:p>
      <w:pPr>
        <w:pStyle w:val="ListParagraph"/>
        <w:numPr>
          <w:ilvl w:val="0"/>
          <w:numId w:val="2"/>
        </w:numPr>
        <w:spacing w:after="80" w:line="280"/>
      </w:pPr>
      <w:r>
        <w:rPr>
          <w:sz w:val="22"/>
          <w:szCs w:val="22"/>
        </w:rPr>
        <w:t xml:space="preserve">宠物供应链2025年收入7.82亿元，占比23.00%，但毛利率仅14.91%；该业务及2026年上半年宠物业务虽保持增长，若规模扩张未同步带来毛利率改善，业务结构变化可能拖累公司综合盈利能力。</w:t>
      </w:r>
    </w:p>
    <w:p>
      <w:pPr>
        <w:pStyle w:val="ListParagraph"/>
        <w:numPr>
          <w:ilvl w:val="0"/>
          <w:numId w:val="2"/>
        </w:numPr>
        <w:spacing w:after="80" w:line="280"/>
      </w:pPr>
      <w:r>
        <w:rPr>
          <w:sz w:val="22"/>
          <w:szCs w:val="22"/>
        </w:rPr>
        <w:t xml:space="preserve">猪流行性腹泻mRNA疫苗虽已完成临床试验并推进注册申报，猫传染性腹膜炎mRNA疫苗仍处于临床阶段；两款产品上市均需取得主管部门审批，研发投入、注册进度和商业化收入存在不确定性。</w:t>
      </w:r>
    </w:p>
    <w:p>
      <w:pPr>
        <w:pStyle w:val="ListParagraph"/>
        <w:numPr>
          <w:ilvl w:val="0"/>
          <w:numId w:val="2"/>
        </w:numPr>
        <w:spacing w:after="80" w:line="280"/>
      </w:pPr>
      <w:r>
        <w:rPr>
          <w:sz w:val="22"/>
          <w:szCs w:val="22"/>
        </w:rPr>
        <w:t xml:space="preserve">万吨级微生物蛋白产业化基地尚在建设，计划于2026年底竣工并试生产，相关产线尚未正式投产且尚未开展大规模对外销售；设备投产、客户试用、产品放量和盈利贡献均可能低于预期。</w:t>
      </w:r>
    </w:p>
    <w:p>
      <w:pPr>
        <w:pStyle w:val="ListParagraph"/>
        <w:numPr>
          <w:ilvl w:val="0"/>
          <w:numId w:val="2"/>
        </w:numPr>
        <w:spacing w:after="80" w:line="280"/>
      </w:pPr>
      <w:r>
        <w:rPr>
          <w:sz w:val="22"/>
          <w:szCs w:val="22"/>
        </w:rPr>
        <w:t xml:space="preserve">公司已审议通过继续开展资产池业务并提供担保，但当前数据未披露资产池规模、担保余额及具体风险敞口；若相关业务规模扩大，可能增加或有负债和资金管理风险。</w:t>
      </w:r>
    </w:p>
    <w:p>
      <w:pPr>
        <w:pStyle w:val="ListParagraph"/>
        <w:numPr>
          <w:ilvl w:val="0"/>
          <w:numId w:val="2"/>
        </w:numPr>
        <w:spacing w:after="80" w:line="280"/>
      </w:pPr>
      <w:r>
        <w:rPr>
          <w:sz w:val="22"/>
          <w:szCs w:val="22"/>
        </w:rPr>
        <w:t xml:space="preserve">公司直接持有瑞派宠物医院约9.09%股权，且对天津中瑞供应链持股比例已提升至86%；相关业务具有产业协同意义，但关联交易、利益输送、内部定价和并购整合效果仍需关注。</w:t>
      </w:r>
    </w:p>
    <w:p>
      <w:pPr>
        <w:pStyle w:val="ListParagraph"/>
        <w:numPr>
          <w:ilvl w:val="0"/>
          <w:numId w:val="2"/>
        </w:numPr>
        <w:spacing w:after="80" w:line="280"/>
      </w:pPr>
      <w:r>
        <w:rPr>
          <w:sz w:val="22"/>
          <w:szCs w:val="22"/>
        </w:rPr>
        <w:t xml:space="preserve">公司2025年经营活动现金流量净额同比下降59.55%，尽管2026年上半年同比增长43.04%，仍需关注宠物供应链扩张、存货、应收款项、税费及其他经营性收支变化对资金占用的影响。</w:t>
      </w:r>
    </w:p>
    <w:p>
      <w:pPr>
        <w:pStyle w:val="ListParagraph"/>
        <w:numPr>
          <w:ilvl w:val="0"/>
          <w:numId w:val="2"/>
        </w:numPr>
        <w:spacing w:after="80" w:line="280"/>
      </w:pPr>
      <w:r>
        <w:rPr>
          <w:sz w:val="22"/>
          <w:szCs w:val="22"/>
        </w:rPr>
        <w:t xml:space="preserve">截至2026年9月11日，公司股权质押比例约12.97%，股价收盘价低于MA5、MA10和MA20；若股价有效跌破17.0元并进一步失守16.6—16.9元支撑区域，可能加剧市场对短期趋势和质押相关风险的关注。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瑞普生物的中长期增长逻辑主要来自高毛利生物制品、宠物健康业务、研发成果转化以及动物疫病整体防治服务的协同发展。2025年生物制品毛利率回升，2026年上半年宠物业务保持较快增长，mRNA疫苗、格拉匹仑、微生物蛋白等项目提供了潜在增量。公司还通过检测诊断、疫病监测、免疫程序设计和养殖管理等服务增强客户黏性，业务模式已由单一兽药销售向综合动物健康服务延伸。</w:t>
      </w:r>
    </w:p>
    <w:p>
      <w:pPr>
        <w:spacing w:after="160" w:line="300"/>
      </w:pPr>
      <w:r>
        <w:rPr>
          <w:sz w:val="22"/>
          <w:szCs w:val="22"/>
        </w:rPr>
        <w:t xml:space="preserve">短期业绩仍处于验证阶段。2026年上半年收入低增长、归母利润下降，畜禽动保业务受到养殖需求调整及增值税政策变化等因素影响；若下半年需求、产品价格或利润率未明显改善，实现机构对全年约4.45亿元归母净利润的预测将面临压力。未来需要重点观察高毛利生物制品占比、药物制剂及原料药毛利率、宠物业务盈利质量，以及新产品注册和微生物蛋白产能投放后的商业化进度。</w:t>
      </w:r>
    </w:p>
    <w:p>
      <w:pPr>
        <w:spacing w:after="160" w:line="300"/>
      </w:pPr>
      <w:r>
        <w:rPr>
          <w:sz w:val="22"/>
          <w:szCs w:val="22"/>
        </w:rPr>
        <w:t xml:space="preserve">公司估值和股价表现对业绩兑现具有较高敏感性。当前股价处于52周高低点之间，技术上位于多条短期均线下方，且机构预测并非公司业绩承诺。公司经营现金流在2025年同比下降59.55%，虽2026年上半年经营现金流同比改善43.04%，但供应商集中度高于客户集中度，资产池业务及担保、关联交易和业务扩张带来的资金占用与或有负债仍需持续跟踪。</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https://static.cninfo.com.cn/finalpage/2026-03-31/1225054294.PDF — https://static.cninfo.com.cn/finalpage/2026-03-31/1225054294.PDF</w:t>
      </w:r>
    </w:p>
    <w:p>
      <w:pPr>
        <w:spacing w:after="200"/>
      </w:pPr>
      <w:r>
        <w:rPr>
          <w:i/>
          <w:iCs/>
          <w:color w:val="595959"/>
          <w:sz w:val="18"/>
          <w:szCs w:val="18"/>
        </w:rPr>
        <w:t xml:space="preserve">天津瑞普生物技术股份有限公司2023 年年度报告全文 — https://www.100est.com/res/financial-report/r2023/SZ300119_202403291629055577.pdf?utm_source=openai</w:t>
      </w:r>
    </w:p>
    <w:p>
      <w:pPr>
        <w:spacing w:after="200"/>
      </w:pPr>
      <w:r>
        <w:rPr>
          <w:i/>
          <w:iCs/>
          <w:color w:val="595959"/>
          <w:sz w:val="18"/>
          <w:szCs w:val="18"/>
        </w:rPr>
        <w:t xml:space="preserve">https://static.cninfo.com.cn/finalpage/2025-04-03/1222991837.PDF — https://static.cninfo.com.cn/finalpage/2025-04-03/1222991837.PDF</w:t>
      </w:r>
    </w:p>
    <w:p>
      <w:pPr>
        <w:spacing w:after="200"/>
      </w:pPr>
      <w:r>
        <w:rPr>
          <w:i/>
          <w:iCs/>
          <w:color w:val="595959"/>
          <w:sz w:val="18"/>
          <w:szCs w:val="18"/>
        </w:rPr>
        <w:t xml:space="preserve">生物股份(600201)_公司公告_生物股份：2024年年度报告新浪财经_新浪网 — https://money.finance.sina.com.cn/corp/view/vCB_AllBulletinDetail.php?id=10963884&amp;stockid=600201&amp;utm_source=openai</w:t>
      </w:r>
    </w:p>
    <w:p>
      <w:pPr>
        <w:spacing w:after="200"/>
      </w:pPr>
      <w:r>
        <w:rPr>
          <w:i/>
          <w:iCs/>
          <w:color w:val="595959"/>
          <w:sz w:val="18"/>
          <w:szCs w:val="18"/>
        </w:rPr>
        <w:t xml:space="preserve">中牧股份(600195)_公司公告_中牧股份：2024年年度报告新浪财经_新浪网 — https://money.finance.sina.com.cn/corp/view/vCB_AllBulletinDetail.php?id=10869154&amp;stockid=600195&amp;utm_source=openai</w:t>
      </w:r>
    </w:p>
    <w:p>
      <w:pPr>
        <w:spacing w:after="200"/>
      </w:pPr>
      <w:r>
        <w:rPr>
          <w:i/>
          <w:iCs/>
          <w:color w:val="595959"/>
          <w:sz w:val="18"/>
          <w:szCs w:val="18"/>
        </w:rPr>
        <w:t xml:space="preserve">普莱柯(603566)_公司公告_普莱柯：2024年年度报告新浪财经_新浪网 — https://money.finance.sina.com.cn/corp/view/vCB_AllBulletinDetail.php?id=10958083&amp;stockid=603566&amp;utm_source=openai</w:t>
      </w:r>
    </w:p>
    <w:p>
      <w:pPr>
        <w:spacing w:after="200"/>
      </w:pPr>
      <w:r>
        <w:rPr>
          <w:i/>
          <w:iCs/>
          <w:color w:val="595959"/>
          <w:sz w:val="18"/>
          <w:szCs w:val="18"/>
        </w:rPr>
        <w:t xml:space="preserve">科前生物(688526)_公司公告_科前生物：2024年年度报告新浪财经_新浪网 — https://money.finance.sina.com.cn/corp/view/vCB_AllBulletinDetail.php?id=11042663&amp;stockid=688526&amp;utm_source=openai</w:t>
      </w:r>
    </w:p>
    <w:p>
      <w:pPr>
        <w:spacing w:after="200"/>
      </w:pPr>
      <w:r>
        <w:rPr>
          <w:i/>
          <w:iCs/>
          <w:color w:val="595959"/>
          <w:sz w:val="18"/>
          <w:szCs w:val="18"/>
        </w:rPr>
        <w:t xml:space="preserve">瑞普生物:2026年半年度报告摘要 — https://www.cnfin.com/announ/detail/index.html?announ=lc&amp;code=300119&amp;dannoun=lcdetail&amp;id=840994669314&amp;utm_source=openai</w:t>
      </w:r>
    </w:p>
    <w:p>
      <w:pPr>
        <w:spacing w:after="200"/>
      </w:pPr>
      <w:r>
        <w:rPr>
          <w:i/>
          <w:iCs/>
          <w:color w:val="595959"/>
          <w:sz w:val="18"/>
          <w:szCs w:val="18"/>
        </w:rPr>
        <w:t xml:space="preserve">瑞普生物(300119)年报点评：畜禽板块稳健增长 微生物蛋白贡献新增长点__新浪财经_新浪网 — https://stock.finance.sina.com.cn/stock/go.php/vReport_Show/kind/8/rptid/828469151826/index.phtml?utm_source=openai</w:t>
      </w:r>
    </w:p>
    <w:p>
      <w:pPr>
        <w:spacing w:after="200"/>
      </w:pPr>
      <w:r>
        <w:rPr>
          <w:i/>
          <w:iCs/>
          <w:color w:val="595959"/>
          <w:sz w:val="18"/>
          <w:szCs w:val="18"/>
        </w:rPr>
        <w:t xml:space="preserve">瑞普生物(300119) 盈利预测_F10_同花顺金融服务网 — https://basic.10jqka.com.cn/300119/worth.html?utm_source=openai</w:t>
      </w:r>
    </w:p>
    <w:p>
      <w:pPr>
        <w:spacing w:after="200"/>
      </w:pPr>
      <w:r>
        <w:rPr>
          <w:i/>
          <w:iCs/>
          <w:color w:val="595959"/>
          <w:sz w:val="18"/>
          <w:szCs w:val="18"/>
        </w:rPr>
        <w:t xml:space="preserve">机构评级|华泰证券给予瑞普生物“买入”评级 — https://stock.10jqka.com.cn/20260401/c675689502.shtml?utm_source=openai</w:t>
      </w:r>
    </w:p>
    <w:p>
      <w:pPr>
        <w:spacing w:after="200"/>
      </w:pPr>
      <w:r>
        <w:rPr>
          <w:i/>
          <w:iCs/>
          <w:color w:val="595959"/>
          <w:sz w:val="18"/>
          <w:szCs w:val="18"/>
        </w:rPr>
        <w:t xml:space="preserve">瑞普生物(300119)股票最新价格行情,实时走势图,股价分析预测_英为财情Investing.com — https://cn.investing.com/equities/tianjin-ringpu-bio-tech?utm_source=openai</w:t>
      </w:r>
    </w:p>
    <w:p>
      <w:pPr>
        <w:spacing w:after="200"/>
      </w:pPr>
      <w:r>
        <w:rPr>
          <w:i/>
          <w:iCs/>
          <w:color w:val="595959"/>
          <w:sz w:val="18"/>
          <w:szCs w:val="18"/>
        </w:rPr>
        <w:t xml:space="preserve">瑞普生物(300119)股票历史数据:历史行情,价格,走势图表_英为财情Investing.com — https://cn.investing.com/equities/tianjin-ringpu-bio-tech-historical-data?utm_source=openai</w:t>
      </w:r>
    </w:p>
    <w:p>
      <w:pPr>
        <w:spacing w:after="200"/>
      </w:pPr>
      <w:r>
        <w:rPr>
          <w:i/>
          <w:iCs/>
          <w:color w:val="595959"/>
          <w:sz w:val="18"/>
          <w:szCs w:val="18"/>
        </w:rPr>
        <w:t xml:space="preserve">瑞普生物(300119)市盈率|估值|基本面 - 理杏仁 — https://www.lixinger.com/equity/company/detail/sz/300119/300119/fundamental/valuation/pe-ttm?utm_source=openai</w:t>
      </w:r>
    </w:p>
    <w:p>
      <w:pPr>
        <w:spacing w:after="200"/>
      </w:pPr>
      <w:r>
        <w:rPr>
          <w:i/>
          <w:iCs/>
          <w:color w:val="595959"/>
          <w:sz w:val="18"/>
          <w:szCs w:val="18"/>
        </w:rPr>
        <w:t xml:space="preserve">瑞普生物(300119)_公司公告_瑞普生物：2026年半年度报告新浪财经_新浪网 — https://money.finance.sina.com.cn/corp/view/vCB_AllBulletinDetail.php?id=12535396&amp;stockid=300119&amp;utm_source=openai</w:t>
      </w:r>
    </w:p>
    <w:p>
      <w:pPr>
        <w:spacing w:after="200"/>
      </w:pPr>
      <w:r>
        <w:rPr>
          <w:i/>
          <w:iCs/>
          <w:color w:val="595959"/>
          <w:sz w:val="18"/>
          <w:szCs w:val="18"/>
        </w:rPr>
        <w:t xml:space="preserve">瑞普生物(300119)_公司公告_瑞普生物：2026年第二次临时股东会决议公告新浪财经_新浪网 — https://money.finance.sina.com.cn/corp/view/vCB_AllBulletinDetail.php?id=12598028&amp;stockid=300119</w:t>
      </w:r>
    </w:p>
    <w:p>
      <w:pPr>
        <w:spacing w:after="200"/>
      </w:pPr>
      <w:r>
        <w:rPr>
          <w:i/>
          <w:iCs/>
          <w:color w:val="595959"/>
          <w:sz w:val="18"/>
          <w:szCs w:val="18"/>
        </w:rPr>
        <w:t xml:space="preserve">瑞普生物(300119)_公司公告_瑞普生物：投资者关系管理信息20260903新浪财经_新浪网 — https://vip.stock.finance.sina.com.cn/corp/view/vCB_AllBulletinDetail.php?id=12583336&amp;stockid=300119</w:t>
      </w:r>
    </w:p>
    <w:p>
      <w:pPr>
        <w:spacing w:after="200"/>
      </w:pPr>
      <w:r>
        <w:rPr>
          <w:i/>
          <w:iCs/>
          <w:color w:val="595959"/>
          <w:sz w:val="18"/>
          <w:szCs w:val="18"/>
        </w:rPr>
        <w:t xml:space="preserve">瑞普生物_ 个股日历 _ 东方财富网_ 数据频道 — https://data.eastmoney.com/stockcalendar/300119.html?utm_source=openai</w:t>
      </w:r>
    </w:p>
    <w:p>
      <w:pPr>
        <w:spacing w:after="200"/>
      </w:pPr>
      <w:r>
        <w:rPr>
          <w:i/>
          <w:iCs/>
          <w:color w:val="595959"/>
          <w:sz w:val="18"/>
          <w:szCs w:val="18"/>
        </w:rPr>
        <w:t xml:space="preserve">瑞普生物(300119)_公司公告_瑞普生物：关于产品通过农业农村部生产用毒种变更备案审查的公告新浪财经_新浪网 — https://vip.stock.finance.sina.com.cn/corp/view/vCB_AllBulletinDetail.php?id=12577217&amp;stockid=300119</w:t>
      </w:r>
    </w:p>
    <w:p>
      <w:pPr>
        <w:spacing w:after="200"/>
      </w:pPr>
      <w:r>
        <w:rPr>
          <w:i/>
          <w:iCs/>
          <w:color w:val="595959"/>
          <w:sz w:val="18"/>
          <w:szCs w:val="18"/>
        </w:rPr>
        <w:t xml:space="preserve">瑞普生物(300119) 公司大事_F10_同花顺金融服务网 — https://basic.10jqka.com.cn/300119/event.html</w:t>
      </w:r>
    </w:p>
    <w:p>
      <w:pPr>
        <w:spacing w:after="200"/>
      </w:pPr>
      <w:r>
        <w:rPr>
          <w:i/>
          <w:iCs/>
          <w:color w:val="595959"/>
          <w:sz w:val="18"/>
          <w:szCs w:val="18"/>
        </w:rPr>
        <w:t xml:space="preserve">瑞普生物(300119)_公司公告_瑞普生物：关于收购控股子公司天津中瑞供应链管理有限公司部分股权暨关联交易的进展公告新浪财经_新浪网 — https://money.finance.sina.com.cn/corp/view/vCB_AllBulletinDetail.php?id=12404454&amp;stockid=300119</w:t>
      </w:r>
    </w:p>
    <w:p>
      <w:pPr>
        <w:spacing w:after="200"/>
      </w:pPr>
      <w:r>
        <w:rPr>
          <w:i/>
          <w:iCs/>
          <w:color w:val="595959"/>
          <w:sz w:val="18"/>
          <w:szCs w:val="18"/>
        </w:rPr>
        <w:t xml:space="preserve">瑞普生物(300119)_公司公告_瑞普生物：2026年半年度报告新浪财经_新浪网 — https://vip.stock.finance.sina.com.cn/corp/view/vCB_AllBulletinDetail.php?id=12535396&amp;stockid=300119&amp;utm_source=openai</w:t>
      </w:r>
    </w:p>
    <w:p>
      <w:pPr>
        <w:spacing w:after="200"/>
      </w:pPr>
      <w:r>
        <w:rPr>
          <w:i/>
          <w:iCs/>
          <w:color w:val="595959"/>
          <w:sz w:val="18"/>
          <w:szCs w:val="18"/>
        </w:rPr>
        <w:t xml:space="preserve">瑞普生物(300119)公司公告_新浪财经_新浪网 — https://money.finance.sina.com.cn/corp/go.php/vCB_AllBulletin/stockid/300119.phtml?utm_source=openai</w:t>
      </w:r>
    </w:p>
    <w:p>
      <w:pPr>
        <w:spacing w:after="200"/>
      </w:pPr>
      <w:r>
        <w:rPr>
          <w:i/>
          <w:iCs/>
          <w:color w:val="595959"/>
          <w:sz w:val="18"/>
          <w:szCs w:val="18"/>
        </w:rPr>
        <w:t xml:space="preserve">瑞普生物（sz300119）行情走势 — https://stcn.com/quotes/index/sz300119.html?utm_source=openai</w:t>
      </w:r>
    </w:p>
    <w:p>
      <w:pPr>
        <w:spacing w:after="200"/>
      </w:pPr>
      <w:r>
        <w:rPr>
          <w:i/>
          <w:iCs/>
          <w:color w:val="595959"/>
          <w:sz w:val="18"/>
          <w:szCs w:val="18"/>
        </w:rPr>
        <w:t xml:space="preserve">瑞普生物(300119)股票信息 - 数据平台 — https://data.agoer.com/cms/Index/detail?id=300119&amp;utm_source=openai</w:t>
      </w:r>
    </w:p>
    <w:p>
      <w:pPr>
        <w:spacing w:after="200"/>
      </w:pPr>
      <w:r>
        <w:rPr>
          <w:i/>
          <w:iCs/>
          <w:color w:val="595959"/>
          <w:sz w:val="18"/>
          <w:szCs w:val="18"/>
        </w:rPr>
        <w:t xml:space="preserve">SZ.300119 瑞普生物 RINGPU BIO-TECH - A股实时报价 RT Quote - 详细报价 Detailed Quote - etnet 经济通|香港新闻财经资讯和生活平台 — https://www.etnet.com.hk/www/sc/ashares/quote.php?code=300119&amp;utm_source=openai</w:t>
      </w:r>
    </w:p>
    <w:p>
      <w:pPr>
        <w:spacing w:after="200"/>
      </w:pPr>
      <w:r>
        <w:rPr>
          <w:i/>
          <w:iCs/>
          <w:color w:val="595959"/>
          <w:sz w:val="18"/>
          <w:szCs w:val="18"/>
        </w:rPr>
        <w:t xml:space="preserve">瑞普生物收盘价17.3元，RSI6为38.7 — https://news.10jqka.com.cn/20260828/c679393207.shtml?utm_source=openai</w:t>
      </w:r>
    </w:p>
    <w:p>
      <w:pPr>
        <w:spacing w:after="200"/>
      </w:pPr>
      <w:r>
        <w:rPr>
          <w:i/>
          <w:iCs/>
          <w:color w:val="595959"/>
          <w:sz w:val="18"/>
          <w:szCs w:val="18"/>
        </w:rPr>
        <w:t xml:space="preserve">瑞普生物(300119)股票行情走势技术分析_未来预测_买卖操作建议_英为财情Investing.com — https://cn.investing.com/equities/tianjin-ringpu-bio-tech-technical</w:t>
      </w:r>
    </w:p>
    <w:p>
      <w:pPr>
        <w:spacing w:after="200"/>
      </w:pPr>
      <w:r>
        <w:rPr>
          <w:i/>
          <w:iCs/>
          <w:color w:val="595959"/>
          <w:sz w:val="18"/>
          <w:szCs w:val="18"/>
        </w:rPr>
        <w:t xml:space="preserve">瑞普生物(300119)个股分析_牛叉诊股_同花顺财经 — https://doctor.10jqka.com.cn/300119/?utm_source=openai</w:t>
      </w:r>
    </w:p>
    <w:p>
      <w:pPr>
        <w:spacing w:after="200"/>
      </w:pPr>
      <w:r>
        <w:rPr>
          <w:i/>
          <w:iCs/>
          <w:color w:val="595959"/>
          <w:sz w:val="18"/>
          <w:szCs w:val="18"/>
        </w:rPr>
        <w:t xml:space="preserve">股票行情快报：瑞普生物（300119）8月28日主力资金净买入40.04万元_股票频道_证券之星 — https://stock.stockstar.com/RB2026082800056418.shtml?utm_source=openai</w:t>
      </w:r>
    </w:p>
    <w:p>
      <w:pPr>
        <w:spacing w:after="200"/>
      </w:pPr>
      <w:r>
        <w:rPr>
          <w:i/>
          <w:iCs/>
          <w:color w:val="595959"/>
          <w:sz w:val="18"/>
          <w:szCs w:val="18"/>
        </w:rPr>
        <w:t xml:space="preserve">瑞普生物(300119) 股东研究_F10_同花顺金融服务网 — https://basic.10jqka.com.cn/300119/holder.html?utm_source=openai</w:t>
      </w:r>
    </w:p>
    <w:p>
      <w:pPr>
        <w:spacing w:after="200"/>
      </w:pPr>
      <w:r>
        <w:rPr>
          <w:i/>
          <w:iCs/>
          <w:color w:val="595959"/>
          <w:sz w:val="18"/>
          <w:szCs w:val="18"/>
        </w:rPr>
        <w:t xml:space="preserve">本报告由AI基于公开渠道信息自动检索、整理并生成，信息截至 数据截至2026年9月11日收盘；部分技术指标为基于公开历史收盘价的近似测算，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2026-09-13T16:24:33.488Z</dcterms:created>
  <dcterms:modified xsi:type="dcterms:W3CDTF">2026-09-13T16:24:33.488Z</dcterms:modified>
</cp:coreProperties>
</file>

<file path=docProps/custom.xml><?xml version="1.0" encoding="utf-8"?>
<Properties xmlns="http://schemas.openxmlformats.org/officeDocument/2006/custom-properties" xmlns:vt="http://schemas.openxmlformats.org/officeDocument/2006/docPropsVTypes"/>
</file>