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苏州科德教育科技股份有限公司（科德教育） (300192)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行业：教育服务+环保胶印油墨</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截至2026年9月11日收盘；MA、MACD、RSI及布林带等完整技术指标最新可核实日期为2026年9月4日，部分行情及资金数据存在页面延迟或口径差异。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科德教育2026年上半年经营表现明显承压：营业收入3.57亿元，同比下降2.35%，归母净利润1,868.86万元，同比下降64.92%，扣非归母净利润同比下降67.17%，经营活动现金流净额同比下降79.12%。利润降幅显著高于收入降幅，主要受到营业总成本上升、管理费用增加、财务费用由负转正，以及对联营企业投资损失扩大等因素影响，显示公司当前盈利质量和利润稳定性弱于收入表现。</w:t>
      </w:r>
    </w:p>
    <w:p>
      <w:pPr>
        <w:spacing w:after="160" w:line="300"/>
      </w:pPr>
      <w:r>
        <w:rPr>
          <w:sz w:val="22"/>
          <w:szCs w:val="22"/>
        </w:rPr>
        <w:t xml:space="preserve">公司仍维持教育与油墨双主业结构。2025年油墨业务收入4.13亿元，占比54.70%，毛利率25.37%；教育培训业务收入3.42亿元，占比45.30%，毛利率42.95%。但教育业务收入同比下降6.94%，毛利率连续下滑至42.95%，反映招生规模、办学利用率和人工成本刚性带来的经营杠杆压力；油墨业务收入同比下降3.31%，但毛利率提升至25.37%，主要受原材料成本下降、产品结构改善等因素支撑。</w:t>
      </w:r>
    </w:p>
    <w:p>
      <w:pPr>
        <w:spacing w:after="160" w:line="300"/>
      </w:pPr>
      <w:r>
        <w:rPr>
          <w:sz w:val="22"/>
          <w:szCs w:val="22"/>
        </w:rPr>
        <w:t xml:space="preserve">公司近期推进股份回购、员工持股计划、人工智能业务布局及香港投资平台建设，但相关事项尚未形成明确的经营业绩贡献。截至8月31日，1亿至2亿元回购方案尚未实施；科德荟英增资前收入规模较小且处于亏损状态，香港子公司投资尚未披露具体标的、项目收益或盈利预测。公司同时面临2026年上半年投资收益亏损扩大、中昊芯英权益法投资拖累等问题。</w:t>
      </w:r>
    </w:p>
    <w:p>
      <w:pPr>
        <w:spacing w:after="160" w:line="300"/>
      </w:pPr>
      <w:r>
        <w:rPr>
          <w:sz w:val="22"/>
          <w:szCs w:val="22"/>
        </w:rPr>
        <w:t xml:space="preserve">截至2026年9月11日，公司股价收于17.50元，较9月3日19.66元阶段高点回落，单日下跌5.10%，成交额约3.4亿元，短线分歧扩大。技术指标截至9月4日仍显示MACD位于零轴上方，但RSI6和RSI12均在70附近，股价此前接近布林带上轨；9月11日收盘已跌破当时MA5和MA10，但仍高于MA20及布林带中轨。按技术面数据，动态PE约90倍，估值对未来盈利修复和新业务预期已有较高反映。</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300192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《2025年年度报告》，披露日期为2026年4月29日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教育+油墨双主业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7.55亿元，同比下降4.99%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1.24亿元，同比下降14.73%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苏州科斯伍德油墨股份有限公司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教育业务：包括中等职业学校、全日制高中学历教育、高中复读、职业技能培训及线上教育。主要主体和学校包括西安培英育才职高、天津旅外职高、陕西龙门教育运营的全日制学校及鹤壁毛坦中学等。</w:t>
      </w:r>
    </w:p>
    <w:p>
      <w:pPr>
        <w:pStyle w:val="ListParagraph"/>
        <w:numPr>
          <w:ilvl w:val="0"/>
          <w:numId w:val="2"/>
        </w:numPr>
        <w:spacing w:after="80" w:line="280"/>
      </w:pPr>
      <w:r>
        <w:rPr>
          <w:sz w:val="22"/>
          <w:szCs w:val="22"/>
        </w:rPr>
        <w:t xml:space="preserve">油墨业务：主要产品包括胶印油墨和UV油墨，应用于包装印刷、出版印刷和商业印刷，主要品牌包括“东吴牌”和“Kingswood”。</w:t>
      </w:r>
    </w:p>
    <w:p>
      <w:pPr>
        <w:pStyle w:val="ListParagraph"/>
        <w:numPr>
          <w:ilvl w:val="0"/>
          <w:numId w:val="2"/>
        </w:numPr>
        <w:spacing w:after="80" w:line="280"/>
      </w:pPr>
      <w:r>
        <w:rPr>
          <w:sz w:val="22"/>
          <w:szCs w:val="22"/>
        </w:rPr>
        <w:t xml:space="preserve">2025年教育培训业务收入3.42亿元，占营业收入45.30%，毛利率42.95%；油墨化工业务收入4.13亿元，占营业收入54.70%，毛利率25.37%。</w:t>
      </w:r>
    </w:p>
    <w:p>
      <w:pPr>
        <w:pStyle w:val="ListParagraph"/>
        <w:numPr>
          <w:ilvl w:val="0"/>
          <w:numId w:val="2"/>
        </w:numPr>
        <w:spacing w:after="80" w:line="280"/>
      </w:pPr>
      <w:r>
        <w:rPr>
          <w:sz w:val="22"/>
          <w:szCs w:val="22"/>
        </w:rPr>
        <w:t xml:space="preserve">2025年职校和全日制学校收入3.40亿元，占营业收入44.99%，毛利率42.80%；油墨产品收入4.09亿元，占营业收入54.16%。</w:t>
      </w:r>
    </w:p>
    <w:p>
      <w:pPr>
        <w:pStyle w:val="ListParagraph"/>
        <w:numPr>
          <w:ilvl w:val="0"/>
          <w:numId w:val="2"/>
        </w:numPr>
        <w:spacing w:after="80" w:line="280"/>
      </w:pPr>
      <w:r>
        <w:rPr>
          <w:sz w:val="22"/>
          <w:szCs w:val="22"/>
        </w:rPr>
        <w:t xml:space="preserve">2025年油墨设计产能为2万吨/年，产能利用率79.70%，实际生产15,940吨、销售15,936吨，期末库存1,152吨。</w:t>
      </w:r>
    </w:p>
    <w:p>
      <w:pPr>
        <w:pStyle w:val="ListParagraph"/>
        <w:numPr>
          <w:ilvl w:val="0"/>
          <w:numId w:val="2"/>
        </w:numPr>
        <w:spacing w:after="80" w:line="280"/>
      </w:pPr>
      <w:r>
        <w:rPr>
          <w:sz w:val="22"/>
          <w:szCs w:val="22"/>
        </w:rPr>
        <w:t xml:space="preserve">截至2025年末，油墨业务拥有发明专利15项、实用新型专利57项、研发核心技术人员42人，并设有专业油墨研发实验室和苏州市环保油墨工程技术中心。</w:t>
      </w:r>
    </w:p>
    <w:p>
      <w:pPr>
        <w:pStyle w:val="ListParagraph"/>
        <w:numPr>
          <w:ilvl w:val="0"/>
          <w:numId w:val="2"/>
        </w:numPr>
        <w:spacing w:after="80" w:line="280"/>
      </w:pPr>
      <w:r>
        <w:rPr>
          <w:sz w:val="22"/>
          <w:szCs w:val="22"/>
        </w:rPr>
        <w:t xml:space="preserve">公司油墨产品已销售至全球80多个国家和地区；具体国家收入、单一海外客户占比及海外业务利润率未披露。</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科德教育同时处于两个不同的价值链位置：教育业务属于区域性教育服务和升学服务环节，油墨业务属于印刷产业链中游的配方、加工与应用服务环节。2025年收入结构中油墨业务略占主导，但教育业务毛利率明显高于油墨业务。</w:t>
      </w:r>
    </w:p>
    <w:p>
      <w:pPr>
        <w:pStyle w:val="ListParagraph"/>
        <w:numPr>
          <w:ilvl w:val="0"/>
          <w:numId w:val="2"/>
        </w:numPr>
        <w:spacing w:after="80" w:line="280"/>
      </w:pPr>
      <w:r>
        <w:rPr>
          <w:sz w:val="22"/>
          <w:szCs w:val="22"/>
        </w:rPr>
        <w:t xml:space="preserve">油墨业务主要采购颜料、油品、树脂、助剂及其他化工类材料。2025年采购额占比分别为颜料28.36%、油品23.76%、树脂14.92%、助剂9.80%、化工类材料7.61%，前述主要原材料合计约占采购总额84.45%。</w:t>
      </w:r>
    </w:p>
    <w:p>
      <w:pPr>
        <w:pStyle w:val="ListParagraph"/>
        <w:numPr>
          <w:ilvl w:val="0"/>
          <w:numId w:val="2"/>
        </w:numPr>
        <w:spacing w:after="80" w:line="280"/>
      </w:pPr>
      <w:r>
        <w:rPr>
          <w:sz w:val="22"/>
          <w:szCs w:val="22"/>
        </w:rPr>
        <w:t xml:space="preserve">油墨采购以询价采购为主，并采用“以销定产、以产定购”以及“长期协议+动态调整”机制。颜料、树脂和油品价格受石油化工产品价格、国际大宗商品价格、市场供需及环保要求影响。</w:t>
      </w:r>
    </w:p>
    <w:p>
      <w:pPr>
        <w:pStyle w:val="ListParagraph"/>
        <w:numPr>
          <w:ilvl w:val="0"/>
          <w:numId w:val="2"/>
        </w:numPr>
        <w:spacing w:after="80" w:line="280"/>
      </w:pPr>
      <w:r>
        <w:rPr>
          <w:sz w:val="22"/>
          <w:szCs w:val="22"/>
        </w:rPr>
        <w:t xml:space="preserve">公司不掌握颜料、树脂及石油化工原料的资源定价权，整体是中游配方、加工和应用服务商，对上游成本具有一定传导能力，但并非绝对的成本转嫁者。2025年油墨产品原材料占油墨营业成本82.05%，高于2024年的80.96%，盈利对原材料价格和产品售价较敏感。</w:t>
      </w:r>
    </w:p>
    <w:p>
      <w:pPr>
        <w:pStyle w:val="ListParagraph"/>
        <w:numPr>
          <w:ilvl w:val="0"/>
          <w:numId w:val="2"/>
        </w:numPr>
        <w:spacing w:after="80" w:line="280"/>
      </w:pPr>
      <w:r>
        <w:rPr>
          <w:sz w:val="22"/>
          <w:szCs w:val="22"/>
        </w:rPr>
        <w:t xml:space="preserve">教育业务的主要投入包括教师、教研人员、学校场地、教学设备、招生渠道和教育内容资源。2025年教育业务人工成本为1.21亿元，占教育业务营业成本61.78%，其主要成本并非工业原材料。</w:t>
      </w:r>
    </w:p>
    <w:p>
      <w:pPr>
        <w:pStyle w:val="ListParagraph"/>
        <w:numPr>
          <w:ilvl w:val="0"/>
          <w:numId w:val="2"/>
        </w:numPr>
        <w:spacing w:after="80" w:line="280"/>
      </w:pPr>
      <w:r>
        <w:rPr>
          <w:sz w:val="22"/>
          <w:szCs w:val="22"/>
        </w:rPr>
        <w:t xml:space="preserve">研究纪要未披露油墨主要供应商集中度及供应商前五名采购占比，无法据此判断供应端集中度。</w:t>
      </w:r>
    </w:p>
    <w:p>
      <w:pPr>
        <w:pStyle w:val="ListParagraph"/>
        <w:numPr>
          <w:ilvl w:val="0"/>
          <w:numId w:val="2"/>
        </w:numPr>
        <w:spacing w:after="80" w:line="280"/>
      </w:pPr>
      <w:r>
        <w:rPr>
          <w:sz w:val="22"/>
          <w:szCs w:val="22"/>
        </w:rPr>
        <w:t xml:space="preserve">油墨产品主要销售给包装印刷、出版印刷和商业印刷客户。2025年经销收入3.54亿元，占油墨化工业务收入85.67%；直销收入0.59亿元，占14.33%。</w:t>
      </w:r>
    </w:p>
    <w:p>
      <w:pPr>
        <w:pStyle w:val="ListParagraph"/>
        <w:numPr>
          <w:ilvl w:val="0"/>
          <w:numId w:val="2"/>
        </w:numPr>
        <w:spacing w:after="80" w:line="280"/>
      </w:pPr>
      <w:r>
        <w:rPr>
          <w:sz w:val="22"/>
          <w:szCs w:val="22"/>
        </w:rPr>
        <w:t xml:space="preserve">2025年公司合并口径前五大客户合计销售额8,507.29万元，占年度销售总额11.26%；单一最大客户占比3.54%。该数据未拆分教育和油墨业务，不能直接等同于油墨业务客户集中度，具体油墨客户集中度可能高于公司整体口径。</w:t>
      </w:r>
    </w:p>
    <w:p>
      <w:pPr>
        <w:pStyle w:val="ListParagraph"/>
        <w:numPr>
          <w:ilvl w:val="0"/>
          <w:numId w:val="2"/>
        </w:numPr>
        <w:spacing w:after="80" w:line="280"/>
      </w:pPr>
      <w:r>
        <w:rPr>
          <w:sz w:val="22"/>
          <w:szCs w:val="22"/>
        </w:rPr>
        <w:t xml:space="preserve">油墨下游客户通常对价格和质量稳定性较敏感。标准化胶印油墨容易受到价格竞争影响；高端包装、食品包装、医药包装、烟酒包装和特殊功能油墨更依赖配方认证、印刷适配、交付稳定性及现场技术服务。</w:t>
      </w:r>
    </w:p>
    <w:p>
      <w:pPr>
        <w:pStyle w:val="ListParagraph"/>
        <w:numPr>
          <w:ilvl w:val="0"/>
          <w:numId w:val="2"/>
        </w:numPr>
        <w:spacing w:after="80" w:line="280"/>
      </w:pPr>
      <w:r>
        <w:rPr>
          <w:sz w:val="22"/>
          <w:szCs w:val="22"/>
        </w:rPr>
        <w:t xml:space="preserve">公司通过“油墨+技术支持+色彩管理”提高客户黏性，并通过大客户事业部服务包装印刷龙头企业和大型出版集团，但其核心客户整体议价能力弱于拥有品牌和终端渠道的印刷品客户。</w:t>
      </w:r>
    </w:p>
    <w:p>
      <w:pPr>
        <w:pStyle w:val="ListParagraph"/>
        <w:numPr>
          <w:ilvl w:val="0"/>
          <w:numId w:val="2"/>
        </w:numPr>
        <w:spacing w:after="80" w:line="280"/>
      </w:pPr>
      <w:r>
        <w:rPr>
          <w:sz w:val="22"/>
          <w:szCs w:val="22"/>
        </w:rPr>
        <w:t xml:space="preserve">教育业务的下游主要是学生及家庭、企业培训客户和升学需求人群，需求和供给边界受地方教育政策、招生审批、生源变化、学校品牌、升学成绩及就业结果影响。教育业务扩张还受到民办学校监管和办学资质约束。</w:t>
      </w:r>
    </w:p>
    <w:p>
      <w:pPr>
        <w:pStyle w:val="ListParagraph"/>
        <w:numPr>
          <w:ilvl w:val="0"/>
          <w:numId w:val="2"/>
        </w:numPr>
        <w:spacing w:after="80" w:line="280"/>
      </w:pPr>
      <w:r>
        <w:rPr>
          <w:sz w:val="22"/>
          <w:szCs w:val="22"/>
        </w:rPr>
        <w:t xml:space="preserve">教育业务主要依靠招生规模、学校利用率、办学质量、师资和教学管理效率改善利润，而不是依靠工业原材料成本下降。</w:t>
      </w:r>
    </w:p>
    <w:p>
      <w:pPr>
        <w:pStyle w:val="ListParagraph"/>
        <w:numPr>
          <w:ilvl w:val="0"/>
          <w:numId w:val="2"/>
        </w:numPr>
        <w:spacing w:after="80" w:line="280"/>
      </w:pPr>
      <w:r>
        <w:rPr>
          <w:sz w:val="22"/>
          <w:szCs w:val="22"/>
        </w:rPr>
        <w:t xml:space="preserve">截至2025年12月31日，公司应收账款1.12亿元，占总资产8.68%，约占2025年营业收入14.87%；应收账款周转天数约55天。应付账款7,337.82万元，应付票据2,631.99万元，二者合计约9,969万元；合同负债等预收性质项目约1.03亿元。上述指标为教育和油墨合并口径，无法准确拆分两个业务的现金转换周期。约55天的应收账款周转周期表明存在一定营运资金占用，但未表现出特别严重的恶化；应付账款和应付票据可对部分采购资金形成支持。</w:t>
      </w:r>
    </w:p>
    <w:p>
      <w:pPr>
        <w:pStyle w:val="ListParagraph"/>
        <w:numPr>
          <w:ilvl w:val="0"/>
          <w:numId w:val="2"/>
        </w:numPr>
        <w:spacing w:after="80" w:line="280"/>
      </w:pPr>
      <w:r>
        <w:rPr>
          <w:sz w:val="22"/>
          <w:szCs w:val="22"/>
        </w:rPr>
        <w:t xml:space="preserve">客户集中度数据为2025年度公司合并口径：前五大客户合计占年度销售总额11.26%，单一最大客户占比3.54%。该数据来源于2025年年报，但未拆分教育和油墨业务，因此不能直接判断油墨业务的客户集中度；研究纪要未披露供应商前五大采购占比。油墨销售以经销为主，渠道和客户回款管理仍是营运资金管理重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教育业务约48.25%；油墨化工业务约20.33%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约17.96%（归母净利润/营业收入计算值）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教育毛利率为根据2024年年报披露的同比变动倒推的估算值，非年报直接列示值；教育业务处于招生和办学规模扩张阶段，人工成本较高；油墨业务受下游印刷需求、原材料价格和产品结构影响。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教育业务46.28%；油墨化工业务22.27%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约18.24%（归母净利润/营业收入计算值）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教育收入增长2.94%，但人工成本增长6.85%，毛利率同比下降1.97个百分点；油墨收入增长3.24%，营业成本仅增长0.72%，受原材料价格和产品结构改善影响，毛利率同比提升1.94个百分点。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教育培训业务42.95%；油墨化工业务25.37%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约16.37%（归母净利润/营业收入计算值）</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教育收入下降6.94%，成本仅下降1.17%，毛利率下降3.33个百分点，反映人工成本刚性和办学规模不足带来的经营杠杆压力；油墨收入下降3.31%，营业成本下降7.16%，毛利率提升3.10个百分点，原材料成本下降、产品结构改善或高毛利产品占比提升形成支撑。</w:t>
            </w:r>
          </w:p>
        </w:tc>
      </w:tr>
    </w:tbl>
    <w:p>
      <w:pPr>
        <w:spacing w:before="200"/>
      </w:pPr>
    </w:p>
    <w:p>
      <w:pPr>
        <w:spacing w:after="160" w:line="300"/>
      </w:pPr>
      <w:r>
        <w:rPr>
          <w:sz w:val="22"/>
          <w:szCs w:val="22"/>
        </w:rPr>
        <w:t xml:space="preserve">公司整体呈“双主业、双位置”特征：教育业务处于下游服务环节，毛利率较高但受招生规模、办学效率、升学成绩和人工成本约束；油墨业务处于中游配方、加工和应用服务环节，毛利率较低且对颜料、油品、树脂等原材料价格敏感。教育业务进一步改善利润主要依靠招生规模提升、学校利用率提高及师资和教学管理效率改善；油墨业务则主要依靠原材料成本控制、环保及功能型产品升级、产品结构优化、品牌渠道建设和定制化技术服务。</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3.5733亿元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归母净利润1868.86万元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同比下降64.92%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3.6593亿元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归母净利润5328.17万元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7.5549亿元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同比下降4.99%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归母净利润1.2369亿元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同比下降14.73%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7.9514亿元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归母净利润1.4506亿元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截至2026年6月30日，公司已披露2026年半年度报告，披露日期为2026年8月29日。2026年上半年扣非归母净利润为1745.06万元，同比下降67.17%；基本每股收益为0.0568元，扣非后基本每股收益为0.0530元；加权平均净资产收益率为1.89%，扣非加权平均净资产收益率为1.77%。经营活动产生的现金流量净额为1291.41万元，同比下降79.12%。2025年全年扣非归母净利润约1.2255亿元，同比下降14.95%，基本每股收益约0.3758元。</w:t>
      </w:r>
    </w:p>
    <w:p>
      <w:pPr>
        <w:spacing w:after="160" w:line="300"/>
      </w:pPr>
      <w:r>
        <w:rPr>
          <w:sz w:val="22"/>
          <w:szCs w:val="22"/>
        </w:rPr>
        <w:t xml:space="preserve">2026年上半年收入降幅较小，但归母净利润和扣非归母净利润降幅明显扩大。利润下滑与营业总成本增长有关：营业总成本为3.0835亿元，同比增长约4.91%；管理费用为3373.22万元，同比增长约25.53%；财务费用由上年同期负328.04万元转为正279.45万元。此外，投资收益亏损2303.34万元，上年同期投资亏损892.34万元，其中对联营企业和合营企业的投资收益亏损1674.89万元，处置长期股权投资产生投资损失637.14万元。2026年6月30日总资产13.2583亿元，负债合计3.2787亿元，归属于母公司股东的净资产9.9264亿元，货币资金3.8037亿元，长期股权投资1.9500亿元，商誉1.0502亿元，股本3.2914亿股，资产负债率约24.73%。</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数据截至2026年9月7日，样本仅有2家机构，主要提供2026—2028年归母净利润和EPS预测，未提供收入预测。民生证券预测发布于2025年8月27日，早于公司2026年半年度报告，不能直接视为当前市场一致预期。民生证券预测的收入增速分别为2025E、2026E和2027E的8.0%、6.0%和5.0%；同花顺显示2026年预测EPS为0.30元，低于2025年实际EPS约0.38元，存在股本口径、预测修订或页面展示口径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2025E（民生证券，2025年8月预测）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2026E（同花顺，2家机构汇总）</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机构收入均值未提供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归母净利润均值1.40亿元，区间1.35亿至1.45亿元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同花顺页面显示较2025年实际净利润增长约13.11%</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均值0.30元，区间0.29至0.31元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2026E（民生证券，2025年8月预测）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9.10亿元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归母净利润1.68亿元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2027E（同花顺，2家机构汇总）</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归母净利润均值1.61亿元，区间1.50亿至1.71亿元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均值0.35元，区间0.32至0.37元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2027E（民生证券，2025年8月预测）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9.56亿元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归母净利润1.79亿元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6.2%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0.54元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2028E（同花顺，2家机构汇总）</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归母净利润均值1.81亿元，区间1.65亿至1.97亿元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均值0.39元，区间0.36至0.43元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截至2026年9月7日近6个月内无新增买入、增持、中性、减持或卖出评级记录</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最新半年期公开评级覆盖较少，市场缺乏持续更新的券商评级跟踪</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谨慎推荐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预测2025—2027年EPS分别为0.48元、0.51元和0.54元；该评级及预测早于2026年半年度报告</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2025年5月、2025年8月、2025年10月</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公开评级页面未显示明确目标价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2024年9月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预测和估值数据已明显较旧</w:t>
            </w:r>
          </w:p>
        </w:tc>
      </w:tr>
    </w:tbl>
    <w:p>
      <w:pPr>
        <w:spacing w:before="200"/>
      </w:pPr>
    </w:p>
    <w:p>
      <w:pPr>
        <w:spacing w:after="160" w:line="300"/>
      </w:pPr>
      <w:r>
        <w:rPr>
          <w:sz w:val="22"/>
          <w:szCs w:val="22"/>
        </w:rPr>
        <w:t xml:space="preserve">截至2026年9月9日收盘，股价为18.33元。按2026年半年度报告披露的股本3.2914亿股计算，总市值约60.33亿元；按2026年6月30日归属于母公司股东的净资产9.9264亿元计算，每股净资产约3.02元，PB约6.08倍。按2025年全年归母净利润1.2369亿元、2025年上半年归母净利润5328.17万元及2026年上半年归母净利润1868.86万元计算，TTM归母净利润约8909.55万元，PE（TTM）约67.7倍。按同花顺2家机构预测，在股价18.33元、股本不发生明显变化的假设下，2026E、2027E和2028E PE分别约61.1倍、52.4倍和47.0倍；按民生证券较早预测的EPS计算，2026E和2027E PE分别约35.9倍和33.9倍，但该预测早于2026年中报，当前不宜直接采用。部分行情网站显示的PE（TTM）约89.89倍、PB约8.07倍未被采用，原因是其股本、净利润期间或数据更新口径与公司定期报告口径存在差异。近期券商公开资料未披露明确目标价。总体看，公司当前估值仍包含对未来盈利修复、AI+教育布局及中昊芯英投资价值的较高预期；若主营教育业务和投资收益不能改善，存在盈利预测下修和估值消化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科德教育通过1亿至2亿元股份回购方案，但截至8月31日尚未实施</w:t>
      </w:r>
    </w:p>
    <w:p>
      <w:pPr>
        <w:spacing w:after="160" w:line="300"/>
      </w:pPr>
      <w:r>
        <w:rPr>
          <w:sz w:val="22"/>
          <w:szCs w:val="22"/>
        </w:rPr>
        <w:t xml:space="preserve">公司董事会于2026年7月17日审议通过股份回购方案，并经2026年8月3日临时股东会审议通过。回购金额不低于1亿元、不超过2亿元，回购价格不超过23.27元/股，预计回购429.74万股至859.48万股，约占总股本的0.93%至1.87%。回购股份拟用于股权激励计划或员工持股计划，但不适用于“跃迁者”第一期员工持股计划，回购期限为股东会审议通过之日起12个月内。截至2026年8月31日，公司尚未实施本次回购。</w:t>
      </w:r>
    </w:p>
    <w:p>
      <w:pPr>
        <w:pStyle w:val="Heading2"/>
        <w:spacing w:after="120" w:before="240"/>
      </w:pPr>
      <w:r>
        <w:rPr>
          <w:b/>
          <w:bCs/>
          <w:color w:val="2E74B5"/>
          <w:sz w:val="24"/>
          <w:szCs w:val="24"/>
        </w:rPr>
        <w:t xml:space="preserve">4.2 “跃迁者”第一期员工持股计划继续增持公司股票</w:t>
      </w:r>
    </w:p>
    <w:p>
      <w:pPr>
        <w:spacing w:after="160" w:line="300"/>
      </w:pPr>
      <w:r>
        <w:rPr>
          <w:sz w:val="22"/>
          <w:szCs w:val="22"/>
        </w:rPr>
        <w:t xml:space="preserve">截至2026年7月30日，“跃迁者”第一期员工持股计划累计买入88.67万股，占公司总股本约0.19%，成交均价约11.28元/股，成交总金额约999.82万元，不含交易费用。根据公司2026年8月29日前后的公告数据，2026年7月31日至8月28日期间，该员工持股计划进一步增持约152.33万股，占流通股比例约0.33%。相关数据建议以公司正式公告为最终核验依据。</w:t>
      </w:r>
    </w:p>
    <w:p>
      <w:pPr>
        <w:pStyle w:val="Heading2"/>
        <w:spacing w:after="120" w:before="240"/>
      </w:pPr>
      <w:r>
        <w:rPr>
          <w:b/>
          <w:bCs/>
          <w:color w:val="2E74B5"/>
          <w:sz w:val="24"/>
          <w:szCs w:val="24"/>
        </w:rPr>
        <w:t xml:space="preserve">4.3 2026年上半年归母净利润同比下降64.92%</w:t>
      </w:r>
    </w:p>
    <w:p>
      <w:pPr>
        <w:spacing w:after="160" w:line="300"/>
      </w:pPr>
      <w:r>
        <w:rPr>
          <w:sz w:val="22"/>
          <w:szCs w:val="22"/>
        </w:rPr>
        <w:t xml:space="preserve">公司于2026年8月29日披露半年度报告。2026年上半年实现营业收入约3.5733亿元，同比下降2.35%；归属于上市公司股东的净利润约1,868.86万元，同比下降64.92%；扣除非经常性损益后的归母净利润约1,745.06万元，同比下降67.17%；经营活动产生的现金流量净额约1,291.41万元，同比下降79.12%；基本每股收益约0.0568元。公司披露，利润下降除教育业务利润变化外，还受到投资收益下降影响，对联营企业中昊芯英按权益法确认的投资损失对利润形成拖累。</w:t>
      </w:r>
    </w:p>
    <w:p>
      <w:pPr>
        <w:pStyle w:val="Heading2"/>
        <w:spacing w:after="120" w:before="240"/>
      </w:pPr>
      <w:r>
        <w:rPr>
          <w:b/>
          <w:bCs/>
          <w:color w:val="2E74B5"/>
          <w:sz w:val="24"/>
          <w:szCs w:val="24"/>
        </w:rPr>
        <w:t xml:space="preserve">4.4 暂未检索到2026年前三季度或全年业绩预告</w:t>
      </w:r>
    </w:p>
    <w:p>
      <w:pPr>
        <w:spacing w:after="160" w:line="300"/>
      </w:pPr>
      <w:r>
        <w:rPr>
          <w:sz w:val="22"/>
          <w:szCs w:val="22"/>
        </w:rPr>
        <w:t xml:space="preserve">截至2026年9月13日，近期正式披露重点为2026年半年度报告，暂未检索到公司针对2026年前三季度或全年发布明确业绩预告。未检索到不等于绝对不存在，最终应以巨潮资讯网公告检索结果为准。</w:t>
      </w:r>
    </w:p>
    <w:p>
      <w:pPr>
        <w:pStyle w:val="Heading2"/>
        <w:spacing w:after="120" w:before="240"/>
      </w:pPr>
      <w:r>
        <w:rPr>
          <w:b/>
          <w:bCs/>
          <w:color w:val="2E74B5"/>
          <w:sz w:val="24"/>
          <w:szCs w:val="24"/>
        </w:rPr>
        <w:t xml:space="preserve">4.5 拟在香港设立全资子公司及孙公司，投资总额约1亿港币</w:t>
      </w:r>
    </w:p>
    <w:p>
      <w:pPr>
        <w:spacing w:after="160" w:line="300"/>
      </w:pPr>
      <w:r>
        <w:rPr>
          <w:sz w:val="22"/>
          <w:szCs w:val="22"/>
        </w:rPr>
        <w:t xml:space="preserve">2026年8月11日，公司董事会审议通过在香港设立全资子公司及孙公司的议案。公司拟以自有资金设立一级全资子公司“华芯远景控股有限公司”（暂定名），再由其设立全资孙公司“华芯远景投资有限公司”（暂定名），本次对外投资总额约1亿港币，实际金额以相关主管部门批准或登记金额为准。该事项尚需完成境外投资备案、外汇登记及香港当地企业登记或审批程序，公告暂未披露明确收购标的、具体投资项目和投资收益预测，不构成关联交易或重大资产重组。</w:t>
      </w:r>
    </w:p>
    <w:p>
      <w:pPr>
        <w:pStyle w:val="Heading2"/>
        <w:spacing w:after="120" w:before="240"/>
      </w:pPr>
      <w:r>
        <w:rPr>
          <w:b/>
          <w:bCs/>
          <w:color w:val="2E74B5"/>
          <w:sz w:val="24"/>
          <w:szCs w:val="24"/>
        </w:rPr>
        <w:t xml:space="preserve">4.6 向全资子公司科德荟英增资4,400万元并扩展经营范围</w:t>
      </w:r>
    </w:p>
    <w:p>
      <w:pPr>
        <w:spacing w:after="160" w:line="300"/>
      </w:pPr>
      <w:r>
        <w:rPr>
          <w:sz w:val="22"/>
          <w:szCs w:val="22"/>
        </w:rPr>
        <w:t xml:space="preserve">2026年8月11日，公司审议向全资子公司苏州科德荟英智慧科技有限公司增资并变更经营范围，拟使用自有资金增资4,400万元。增资前注册资本为600万元，增资后增至5,000万元，公司仍持有其100%股权。经营范围拟增加技术服务、人工智能行业应用系统集成、软件开发、人工智能基础软件及应用软件、企业管理咨询和信息技术咨询等业务。2026年8月25日，公司披露该全资子公司已完成工商变更。</w:t>
      </w:r>
    </w:p>
    <w:p>
      <w:pPr>
        <w:pStyle w:val="Heading2"/>
        <w:spacing w:after="120" w:before="240"/>
      </w:pPr>
      <w:r>
        <w:rPr>
          <w:b/>
          <w:bCs/>
          <w:color w:val="2E74B5"/>
          <w:sz w:val="24"/>
          <w:szCs w:val="24"/>
        </w:rPr>
        <w:t xml:space="preserve">4.7 科德荟英增资前经营规模较小且处于亏损状态</w:t>
      </w:r>
    </w:p>
    <w:p>
      <w:pPr>
        <w:spacing w:after="160" w:line="300"/>
      </w:pPr>
      <w:r>
        <w:rPr>
          <w:sz w:val="22"/>
          <w:szCs w:val="22"/>
        </w:rPr>
        <w:t xml:space="preserve">截至2026年3月31日，科德荟英未经审计的资产总额约102.90万元、净资产约76.32万元；2026年一季度营业收入约8.78万元，净利润亏损约18.63万元。公司表示，科德荟英经营正常，增资前后仍为全资子公司。公告未披露新增人工智能及软件业务的明确订单、客户、项目收益或盈利目标。</w:t>
      </w:r>
    </w:p>
    <w:p>
      <w:pPr>
        <w:pStyle w:val="Heading2"/>
        <w:spacing w:after="120" w:before="240"/>
      </w:pPr>
      <w:r>
        <w:rPr>
          <w:b/>
          <w:bCs/>
          <w:color w:val="2E74B5"/>
          <w:sz w:val="24"/>
          <w:szCs w:val="24"/>
        </w:rPr>
        <w:t xml:space="preserve">4.8 控股股东上层股权结构完成内部调整，实际控制人未变化</w:t>
      </w:r>
    </w:p>
    <w:p>
      <w:pPr>
        <w:spacing w:after="160" w:line="300"/>
      </w:pPr>
      <w:r>
        <w:rPr>
          <w:sz w:val="22"/>
          <w:szCs w:val="22"/>
        </w:rPr>
        <w:t xml:space="preserve">2026年8月19日，公司披露控股股东上层股权结构内部调整公告，相关工商变更登记手续已经完成。调整涉及控股股东深圳华芯未来投资合伙企业（有限合伙）的上层股东湖北晟贤股权投资有限公司。公司控股股东仍为深圳华芯未来投资合伙企业（有限合伙），实际控制人仍为周启超。本次调整不涉及上市公司层面的增持或减持，不改变控股股东或实际控制人的持股数量和持股比例，不涉及要约收购。</w:t>
      </w:r>
    </w:p>
    <w:p>
      <w:pPr>
        <w:pStyle w:val="Heading2"/>
        <w:spacing w:after="120" w:before="240"/>
      </w:pPr>
      <w:r>
        <w:rPr>
          <w:b/>
          <w:bCs/>
          <w:color w:val="2E74B5"/>
          <w:sz w:val="24"/>
          <w:szCs w:val="24"/>
        </w:rPr>
        <w:t xml:space="preserve">4.9 控制权变更后持续披露督导文件及财务顾问主办人变更</w:t>
      </w:r>
    </w:p>
    <w:p>
      <w:pPr>
        <w:spacing w:after="160" w:line="300"/>
      </w:pPr>
      <w:r>
        <w:rPr>
          <w:sz w:val="22"/>
          <w:szCs w:val="22"/>
        </w:rPr>
        <w:t xml:space="preserve">2026年初公司完成控制权变更，华芯未来及中国东方国际资产管理有限公司合计受让公司股份约7,758.43万股，占当时总股本约23.5716%，相关股份过户于2026年3月完成。2026年9月4日，公司披露《详式权益变动报告书之2026年第二季度持续督导意见》及《关于变更持续督导财务顾问主办人的公告》。财务顾问主办人因工作变动更换，公司称该变更不会影响持续督导工作的连续性和有效性。</w:t>
      </w:r>
    </w:p>
    <w:p>
      <w:pPr>
        <w:pStyle w:val="Heading2"/>
        <w:spacing w:after="120" w:before="240"/>
      </w:pPr>
      <w:r>
        <w:rPr>
          <w:b/>
          <w:bCs/>
          <w:color w:val="2E74B5"/>
          <w:sz w:val="24"/>
          <w:szCs w:val="24"/>
        </w:rPr>
        <w:t xml:space="preserve">4.10 公司股东户数连续下降</w:t>
      </w:r>
    </w:p>
    <w:p>
      <w:pPr>
        <w:spacing w:after="160" w:line="300"/>
      </w:pPr>
      <w:r>
        <w:rPr>
          <w:sz w:val="22"/>
          <w:szCs w:val="22"/>
        </w:rPr>
        <w:t xml:space="preserve">截至2026年8月10日，公司A股股东总户数为27,132户，较2026年7月31日减少776户，降幅约2.78%。截至2026年8月20日，股东总户数进一步降至26,054户，较2026年8月10日减少1,078户，降幅约3.97%。股东户数下降可能反映筹码集中度上升，但不等同于机构增持或股价必然上涨。</w:t>
      </w:r>
    </w:p>
    <w:p>
      <w:pPr>
        <w:pStyle w:val="Heading2"/>
        <w:spacing w:after="120" w:before="240"/>
      </w:pPr>
      <w:r>
        <w:rPr>
          <w:b/>
          <w:bCs/>
          <w:color w:val="2E74B5"/>
          <w:sz w:val="24"/>
          <w:szCs w:val="24"/>
        </w:rPr>
        <w:t xml:space="preserve">4.11 近期未发现重大监管措施、纪律处分或重大问询函记录</w:t>
      </w:r>
    </w:p>
    <w:p>
      <w:pPr>
        <w:spacing w:after="160" w:line="300"/>
      </w:pPr>
      <w:r>
        <w:rPr>
          <w:sz w:val="22"/>
          <w:szCs w:val="22"/>
        </w:rPr>
        <w:t xml:space="preserve">截至2026年9月13日，针对科德教育近期公告的检索中，未发现公司在2026年7月至9月被监管部门公开采取重大监管措施、纪律处分或收到重大问询函的明确记录。近期公告主要集中于股份回购及员工持股计划、控制权变更后的持续督导、控股股东上层股权结构调整、香港境外投资以及人工智能和技术服务相关子公司布局。</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科德教育（300192），深圳证券交易所创业板；公司此前曾使用“科斯伍德”简称。</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17.50元（2026年9月11日）</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-5.10%；新浪财经页面披露约为-5.21%，不同页面存在口径差异。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18.11元/18.17元/17.15元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约1,929万股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约3.38亿至3.40亿元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4.6080066亿股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估算总市值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按17.50元收盘价计算约80.65亿元；不同网站显示约80.5亿至81亿元。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约90倍；第三方页面数据约为90至97倍，受实时价格、TTM利润口径及数据刷新时间影响。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52周最高19.66元（2026年9月3日），最低9.95元（2026年7月20日）；采用前复权口径。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8月24日收盘17.39元，9月2日收盘18.42元，9月3日盘中最高19.66元；9月4日至9月11日连续回落，9月11日收盘17.50元。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MA5、MA10、MA20（日线，不复权；截至2026年9月4日）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MA5：18.10元；MA10：17.65元；MA20：16.07元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截至9月4日股价位于三条均线上方，均线结构偏多；结合9月11日收盘价17.50元，已跌破9月4日MA5和MA10，但仍高于当时MA20。9月11日后的均线数值需以交易软件重新计算结果为准。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MACD（日线，不复权；截至2026年9月4日）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DIF：1.52；DEA：1.34；MACD柱：约0.37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MACD柱位于零轴上方，DIF高于DEA，中短期趋势动能截至9月4日仍偏强。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RSI（日线，不复权；截至2026年9月4日）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RSI6：70.8；RSI12：71.5；RSI24：68.2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RSI6和RSI12处于传统技术分析中的高位或超买区域，提示此前上涨较快，短期存在震荡及获利兑现压力。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布林带（日线，不复权；截至2026年9月4日）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上轨：19.57元；中轨：16.07元；下轨：12.57元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截至9月4日股价接近布林带上轨；若缺乏成交量及资金流入配合，继续上冲后可能转为震荡或回撤。9月11日价格仍高于9月4日中轨，但具体布林带数值已可能随新交易日变化。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主力资金流向（最新主要可核实至2026年9月4日）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最近10个交易日合计净流出约5,360万元，5天净流入、5天净流出；9月2日净流入约6,496万元，9月4日净流出约4,957万元。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9月2日放量上涨时曾有明显资金流入，但9月4日出现较大净流出，10日合计仍为净流出。9月11日完整主力资金净额尚未获得稳定交叉核实，不宜据此作精确判断。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9月2日约8.72%，9月3日约8.70%，9月4日约5.65%，9月7日至9月10日约2.43%至3.57%，9月11日按成交量和流通股本估算约4.2%至4.3%。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前期上涨伴随较高换手，9月7日至9月10日成交热度回落；9月11日下跌同时成交量重新放大，显示短线分歧扩大，不能简单理解为放量下跌后必然反弹。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9月2日至9月4日约4.8亿至7.6亿元；9月7日至9月10日约2.0亿至3.0亿元；9月11日约3.4亿元。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成交额与价格波动关联较强，当前流动性尚可，但短线资金集中进出可能放大价格波动。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截至2026年6月30日，前十大股东合计持股约37.15%；截至2026年7月28日，前十大流通股东累计持股约1.67亿股，占流通股本约36.74%。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股东中包含控股股东、自然人股东、资产管理账户、国有法人及香港中央结算等多类主体，不能全部视为机构投资者。保险资金及香港中央结算等机构或通道账户出现在前十大流通股东中，但最终投资人和交易意图无法由公开信息确认。上述数据存在滞后性，不能完全代表2026年9月11日之后的最新持仓结构。</w:t>
            </w:r>
          </w:p>
        </w:tc>
      </w:tr>
    </w:tbl>
    <w:p>
      <w:pPr>
        <w:spacing w:before="200"/>
      </w:pPr>
    </w:p>
    <w:p>
      <w:pPr>
        <w:spacing w:after="160" w:line="300"/>
      </w:pPr>
      <w:r>
        <w:rPr>
          <w:sz w:val="22"/>
          <w:szCs w:val="22"/>
        </w:rPr>
        <w:t xml:space="preserve">截至2026年9月11日，科德教育收盘17.50元，单日下跌5.10%，较9月3日19.66元阶段高点回落，短线由高位强势转入回撤确认阶段。最新完整技术指标截至9月4日，显示股价仍处于均线多头结构，MACD位于零轴上方，但RSI6和RSI12均在70附近，且股价接近布林带上轨，说明此前上涨动能较强，同时存在超买及获利兑现压力。9月11日收盘价已跌破9月4日MA5和MA10，但仍高于当时MA20及布林带中轨，短期关键在于17.10至17.40元区域能否获得承接。若该区域失守，需观察16.20至16.80元强支撑；若重新收复18.30至18.60元并伴随成交额放大，短线技术形态才可能重新转强。资金方面，最近10个交易日主力资金合计净流出约5,360万元，且9月11日下跌伴随成交量放大，显示高位分歧仍在。动态PE约90倍，第三方页面约为90至97倍，估值和技术位置均处于相对高位，短期价格波动可能较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风险提示：以下内容仅为基于2026年9月11日收盘数据、历史价格和公开技术指标的主观情景推演，不构成投资建议，也不代表对未来实际走势的确定性判断。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18.30~18.60元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对应9月11日盘中反弹高点18.17元、9月10日高点18.58元及近期高位成交压力。若有效收复该区间并伴随成交额重新放大，上方可进一步观察18.90~19.30元区域。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17.10~17.40元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对应9月11日最低价17.15元及近期成交密集区。若缩量企稳，可能形成震荡修复；若放量跌破，短线弱势可能延续并向下观察16.20~16.80元区域。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16.20~16.80元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与8月26日至8月28日波动区间、前期放量阳线实体及中期均线支撑区相近。若该区域也被放量跌破，下方可进一步关注15.80~16.00元附近的缺口和平台支撑。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上方重要压力参考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19.30~19.70元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19.66元为截至公开数据可核实的52周高点，且接近9月4日布林带上轨19.57元；若不能放量突破，可能继续构成短线压力。</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位置、量价关系和资金流向的主观启发式权重，不是统计学概率或模型回测结果。）：观察区间为17.10~18.60元。触发条件包括股价在17.10~17.40元附近获得承接，成交额回落至约2亿~3.5亿元的近期常态区间，教育板块未出现明显持续性杀跌；上方反弹至18.30~18.60元后未出现显著放量突破。在此情形下，9月11日下跌可能进入高波动整理和回撤确认阶段。</w:t>
      </w:r>
    </w:p>
    <w:p>
      <w:pPr>
        <w:pStyle w:val="ListParagraph"/>
        <w:numPr>
          <w:ilvl w:val="0"/>
          <w:numId w:val="2"/>
        </w:numPr>
        <w:spacing w:after="80" w:line="280"/>
      </w:pPr>
      <w:r>
        <w:rPr>
          <w:sz w:val="22"/>
          <w:szCs w:val="22"/>
        </w:rPr>
        <w:t xml:space="preserve">偏弱下行（权重中等；为主观启发式判断，不是统计学概率或模型回测结果。）：观察区间为16.20~17.10元。触发条件包括股价放量跌破17.10~17.40元支撑区，单日成交额持续超过4亿元，主力资金继续出现净流出，同时教育、AI应用或创业板整体风险偏好继续下降。若17.10元附近失守，短线结构可能由高位回撤转为弱势调整，并测试16.20~16.80元强支撑；若强支撑区也放量失守，则可进一步观察15.80~16.00元附近。</w:t>
      </w:r>
    </w:p>
    <w:p>
      <w:pPr>
        <w:pStyle w:val="ListParagraph"/>
        <w:numPr>
          <w:ilvl w:val="0"/>
          <w:numId w:val="2"/>
        </w:numPr>
        <w:spacing w:after="80" w:line="280"/>
      </w:pPr>
      <w:r>
        <w:rPr>
          <w:sz w:val="22"/>
          <w:szCs w:val="22"/>
        </w:rPr>
        <w:t xml:space="preserve">反弹走强（权重偏低；为主观启发式判断，不是统计学概率或模型回测结果。）：观察区间为18.30~19.30元，强势时关注19.30~19.70元。触发条件包括重新站上18.30~18.60元压力区，单日成交额达到或持续高于4亿元，成交量明显高于9月7日至9月10日的常态水平，主力资金重新转为连续净流入，且教育板块出现强势联动。若反弹至19.30~19.70元但成交量未继续放大，需关注再次冲高回落风险。</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额约3.38亿至3.40亿元，成交量约1,929万股，按流通股本估算换手率约4.2%至4.3%。近期日成交额大致处于2亿至7.6亿元区间，9月2日至9月4日明显放量，9月7日至9月10日回落至约2.0亿至3.0亿元，9月11日重新放大至约3.4亿元。9月2日至9月3日换手率接近9%，明显高于随后数日约2.4%至3.6%的水平，反映前期上涨伴随较高资金博弈，近期成交热度有所回落，9月11日下跌与成交量重新放大对应短线分歧扩大。股东结构方面，截至2026年6月30日，前十大股东合计持股约37.15%；截至2026年7月28日，前十大流通股东累计持股约36.74%；截至2026年8月20日股东总数为26,054户，低于2026年6月30日的27,052户。前十大股东包含控股股东、自然人、资产管理账户、国有法人及香港中央结算等多类主体，不能将其全部视为主流机构投资者；保险资金及香港中央结算等机构或通道账户虽出现在前十大流通股东中，但最终投资人和交易意图无法确认。上述股东数据分别截至2026年6月30日、7月28日及8月20日，存在披露滞后，价格在7月至9月上涨后的最新持仓变化尚未充分反映。就交易层面而言，当前成交额尚可，但成交额与价格波动关联较强，短线资金集中进出可能导致价格波动和成交执行偏离扩大。</w:t>
      </w:r>
    </w:p>
    <w:p>
      <w:pPr>
        <w:spacing w:after="160" w:line="300"/>
      </w:pPr>
      <w:r>
        <w:rPr>
          <w:sz w:val="22"/>
          <w:szCs w:val="22"/>
        </w:rPr>
        <w:t xml:space="preserve">可复核的成交量确认信号：若未来一周单日成交额持续达到4亿元以上、换手率约5%或更高，同时收盘价重新站上18.30~18.60元压力区，可作为短线资金重新增强的观察信号；若成交额放大但价格持续跌破17.10元，则更接近放量派发或风险释放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观察17.10~17.40元第一支撑区能否承接，以及跌破时是否伴随成交额明显放大；以上为观察思路，非操作指令。</w:t>
      </w:r>
    </w:p>
    <w:p>
      <w:pPr>
        <w:pStyle w:val="ListParagraph"/>
        <w:numPr>
          <w:ilvl w:val="0"/>
          <w:numId w:val="2"/>
        </w:numPr>
        <w:spacing w:after="80" w:line="280"/>
      </w:pPr>
      <w:r>
        <w:rPr>
          <w:sz w:val="22"/>
          <w:szCs w:val="22"/>
        </w:rPr>
        <w:t xml:space="preserve">观察16.20~16.80元强支撑区是否出现缩量企稳或放量失守；以上为观察思路，非操作指令。</w:t>
      </w:r>
    </w:p>
    <w:p>
      <w:pPr>
        <w:pStyle w:val="ListParagraph"/>
        <w:numPr>
          <w:ilvl w:val="0"/>
          <w:numId w:val="2"/>
        </w:numPr>
        <w:spacing w:after="80" w:line="280"/>
      </w:pPr>
      <w:r>
        <w:rPr>
          <w:sz w:val="22"/>
          <w:szCs w:val="22"/>
        </w:rPr>
        <w:t xml:space="preserve">观察股价能否重新收复18.30~18.60元压力区，并同步出现单日成交额达到或持续高于4亿元、换手率约5%或更高；以上为观察思路，非操作指令。</w:t>
      </w:r>
    </w:p>
    <w:p>
      <w:pPr>
        <w:pStyle w:val="ListParagraph"/>
        <w:numPr>
          <w:ilvl w:val="0"/>
          <w:numId w:val="2"/>
        </w:numPr>
        <w:spacing w:after="80" w:line="280"/>
      </w:pPr>
      <w:r>
        <w:rPr>
          <w:sz w:val="22"/>
          <w:szCs w:val="22"/>
        </w:rPr>
        <w:t xml:space="preserve">观察9月11日下跌后的主力资金方向及教育、AI应用和创业板整体风险偏好变化，但9月11日完整主力资金净额目前缺乏稳定交叉核实；以上为观察思路，非操作指令。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不存在能够同时完全对应教育和油墨两项业务的单一可比公司，应按教育和油墨两个板块分别观察。职业教育行业正由单纯就业导向向就业与升学并重转变；胶印油墨行业则由单纯价格竞争向技术、环保、品牌、服务和定制解决方案竞争转变。</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职业教育行业的主要竞争因素包括办学资质和区域招生能力、学校品牌及升学成绩、师资和教学管理质量、专业设置与产业需求匹配度、招生渠道、区域人口结构以及地方教育政策和民办教育监管。</w:t>
      </w:r>
    </w:p>
    <w:p>
      <w:pPr>
        <w:pStyle w:val="ListParagraph"/>
        <w:numPr>
          <w:ilvl w:val="0"/>
          <w:numId w:val="2"/>
        </w:numPr>
        <w:spacing w:after="80" w:line="280"/>
      </w:pPr>
      <w:r>
        <w:rPr>
          <w:sz w:val="22"/>
          <w:szCs w:val="22"/>
        </w:rPr>
        <w:t xml:space="preserve">公司教育业务更偏向区域性中等职业教育、全日制高中及复读业务，规模和品牌影响力与全国性职业教育集团存在差距；其业务组合包括中职学校、全日制学校、复读和线上职业培训，并尝试将AI工具与职业教育场景结合。</w:t>
      </w:r>
    </w:p>
    <w:p>
      <w:pPr>
        <w:pStyle w:val="ListParagraph"/>
        <w:numPr>
          <w:ilvl w:val="0"/>
          <w:numId w:val="2"/>
        </w:numPr>
        <w:spacing w:after="80" w:line="280"/>
      </w:pPr>
      <w:r>
        <w:rPr>
          <w:sz w:val="22"/>
          <w:szCs w:val="22"/>
        </w:rPr>
        <w:t xml:space="preserve">胶印油墨行业趋势包括绿色环保油墨替代传统高VOCs产品，大豆油、植物油基、生物基及低矿物油产品应用扩大，UV和UV-LED快速固化技术渗透，以及产品向高性能、功能化和定制化发展。</w:t>
      </w:r>
    </w:p>
    <w:p>
      <w:pPr>
        <w:pStyle w:val="ListParagraph"/>
        <w:numPr>
          <w:ilvl w:val="0"/>
          <w:numId w:val="2"/>
        </w:numPr>
        <w:spacing w:after="80" w:line="280"/>
      </w:pPr>
      <w:r>
        <w:rPr>
          <w:sz w:val="22"/>
          <w:szCs w:val="22"/>
        </w:rPr>
        <w:t xml:space="preserve">油墨行业还呈现印刷设备、油墨和色彩管理服务一体化趋势；环保投入、原材料价格波动和下游印刷需求疲弱可能压缩中小企业利润。</w:t>
      </w:r>
    </w:p>
    <w:p>
      <w:pPr>
        <w:pStyle w:val="ListParagraph"/>
        <w:numPr>
          <w:ilvl w:val="0"/>
          <w:numId w:val="2"/>
        </w:numPr>
        <w:spacing w:after="80" w:line="280"/>
      </w:pPr>
      <w:r>
        <w:rPr>
          <w:sz w:val="22"/>
          <w:szCs w:val="22"/>
        </w:rPr>
        <w:t xml:space="preserve">公司2025年年报认为油墨行业集中度有提升趋势，但行业总规模、市场份额和竞争对手收入数据未全部以统一统计口径披露，相关判断主要属于管理层行业判断，需结合中国油墨协会和竞争对手年报进一步跟踪。</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杭华股份（688571）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油墨业务最具可比性的A股上市公司之一，主营环保型胶印油墨、UV油墨、液体油墨和功能材料。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油墨产品线更完整，UV油墨和功能材料布局更强，规模化和研发体系相对突出；2024年1至9月油墨产品销售收入在中国油墨协会统计的近40家重点企业中排名第二，UV油墨产量排名第一。科德教育在传统胶印油墨、环保油墨和海外市场方面具有一定基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迪爱生DIC、东洋油墨Toyo Ink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全球性油墨企业，产品覆盖胶印油墨、凹印油墨、包装油墨和功能型印刷材料。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全球品牌、研发体系、客户认证和高端油墨产品方面具有较强竞争力，是科德教育在高端包装、环保油墨及国际客户方面面对的跨国竞争者；两者并非A股上市主体，公开披露口径与科德教育不完全一致，无法直接进行财务规模比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乐通股份（002319）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主营油墨、涂料等业务，产品涉及胶印油墨、凹印油墨和其他印刷材料。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与科德教育油墨业务存在产品重叠，但油墨业务规模较小，业务结构和经营地域不同，属于产品层面的可比公司，不是完全同质的规模可比公司。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学大教育（000526）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主要从事个性化教育、全日制教育和职业教育，与科德教育的全日制教育和升学服务存在一定可比性。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更加偏向个性化教育和高中阶段教育服务；科德教育同时拥有中等职业学校、全日制学校、复读业务和油墨业务，两者教育业务模式并不完全一致。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传智教育（003032）及中国东方教育（00667.HK）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职业教育培训参考样本，分别聚焦IT职业教育及职业技能培训等业务。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可用于观察招生、课程、就业和职业技能培训竞争格局，但科德教育目前教育收入主要来自学校和全日制教育，线上职业技能培训仍处于发展阶段，因此并非公司整体的直接竞争对手。</w:t>
            </w:r>
          </w:p>
        </w:tc>
      </w:tr>
    </w:tbl>
    <w:p>
      <w:pPr>
        <w:spacing w:before="200"/>
      </w:pPr>
    </w:p>
    <w:p>
      <w:pPr>
        <w:spacing w:after="160" w:line="300"/>
      </w:pPr>
      <w:r>
        <w:rPr>
          <w:sz w:val="22"/>
          <w:szCs w:val="22"/>
        </w:rPr>
        <w:t xml:space="preserve">科德教育的比较应拆分为两条主线：油墨业务可重点参考杭华股份，并关注迪爱生、东洋油墨等跨国企业及乐通股份的产品竞争；教育业务可参考学大教育、传智教育和中国东方教育，但这些公司与科德教育在业务模式、收入结构和规模口径上均不完全一致。科德教育的差异化在于教育与油墨双主业并存，教育业务具有区域性学校和升学服务属性，油墨业务则具备传统胶印油墨、环保油墨及海外销售基础。</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教育业务收入和盈利继续下滑的风险：2025年教育培训业务收入同比下降6.94%，毛利率由2024年的46.28%降至42.95%，人工成本占教育业务营业成本61.78%；若招生规模、学校利用率或升学服务表现未改善，人工成本刚性可能继续压缩利润。</w:t>
      </w:r>
    </w:p>
    <w:p>
      <w:pPr>
        <w:pStyle w:val="ListParagraph"/>
        <w:numPr>
          <w:ilvl w:val="0"/>
          <w:numId w:val="2"/>
        </w:numPr>
        <w:spacing w:after="80" w:line="280"/>
      </w:pPr>
      <w:r>
        <w:rPr>
          <w:sz w:val="22"/>
          <w:szCs w:val="22"/>
        </w:rPr>
        <w:t xml:space="preserve">油墨原材料价格及成本传导风险：颜料、油品、树脂、助剂及其他化工材料合计约占主要采购额84.45%，原材料占油墨营业成本82.05%。公司不具备上游资源定价权，若石油化工产品、国际大宗商品或相关化工材料价格上升，而产品售价和客户结构调整滞后，油墨毛利率可能回落。</w:t>
      </w:r>
    </w:p>
    <w:p>
      <w:pPr>
        <w:pStyle w:val="ListParagraph"/>
        <w:numPr>
          <w:ilvl w:val="0"/>
          <w:numId w:val="2"/>
        </w:numPr>
        <w:spacing w:after="80" w:line="280"/>
      </w:pPr>
      <w:r>
        <w:rPr>
          <w:sz w:val="22"/>
          <w:szCs w:val="22"/>
        </w:rPr>
        <w:t xml:space="preserve">投资收益进一步拖累业绩的风险：2026年上半年投资收益亏损2,303.34万元，其中对联营企业和合营企业的投资收益亏损1,674.89万元，处置长期股权投资产生投资损失637.14万元；若相关投资经营或估值表现未改善，主营业务之外的损失可能继续放大盈利波动。</w:t>
      </w:r>
    </w:p>
    <w:p>
      <w:pPr>
        <w:pStyle w:val="ListParagraph"/>
        <w:numPr>
          <w:ilvl w:val="0"/>
          <w:numId w:val="2"/>
        </w:numPr>
        <w:spacing w:after="80" w:line="280"/>
      </w:pPr>
      <w:r>
        <w:rPr>
          <w:sz w:val="22"/>
          <w:szCs w:val="22"/>
        </w:rPr>
        <w:t xml:space="preserve">人工智能及新业务投入回报不确定风险：科德荟英增资前截至2026年一季度收入仅8.78万元、净利润亏损18.63万元，新增人工智能、软件开发和技术服务业务尚未披露明确订单、客户、项目收益或盈利目标，4,400万元增资后的业务拓展存在落地和回报不及预期的可能。</w:t>
      </w:r>
    </w:p>
    <w:p>
      <w:pPr>
        <w:pStyle w:val="ListParagraph"/>
        <w:numPr>
          <w:ilvl w:val="0"/>
          <w:numId w:val="2"/>
        </w:numPr>
        <w:spacing w:after="80" w:line="280"/>
      </w:pPr>
      <w:r>
        <w:rPr>
          <w:sz w:val="22"/>
          <w:szCs w:val="22"/>
        </w:rPr>
        <w:t xml:space="preserve">香港投资平台项目不确定风险：公司拟以约1亿港币设立香港全资子公司及孙公司，但目前尚未披露明确收购标的、具体投资项目和投资收益预测，且仍需完成境外投资备案、外汇登记及香港当地登记或审批，项目进展和收益存在不确定性。</w:t>
      </w:r>
    </w:p>
    <w:p>
      <w:pPr>
        <w:pStyle w:val="ListParagraph"/>
        <w:numPr>
          <w:ilvl w:val="0"/>
          <w:numId w:val="2"/>
        </w:numPr>
        <w:spacing w:after="80" w:line="280"/>
      </w:pPr>
      <w:r>
        <w:rPr>
          <w:sz w:val="22"/>
          <w:szCs w:val="22"/>
        </w:rPr>
        <w:t xml:space="preserve">现金流和营运资金承压风险：2026年上半年经营活动现金流净额仅1,291.41万元，同比下降79.12%；2025年末应收账款1.12亿元，约占当年营业收入14.87%，且油墨销售以经销为主。若教育及油墨业务回款放缓，可能加大现金转换周期和资金占用压力。</w:t>
      </w:r>
    </w:p>
    <w:p>
      <w:pPr>
        <w:pStyle w:val="ListParagraph"/>
        <w:numPr>
          <w:ilvl w:val="0"/>
          <w:numId w:val="2"/>
        </w:numPr>
        <w:spacing w:after="80" w:line="280"/>
      </w:pPr>
      <w:r>
        <w:rPr>
          <w:sz w:val="22"/>
          <w:szCs w:val="22"/>
        </w:rPr>
        <w:t xml:space="preserve">估值与股价波动风险：2026年9月11日股价17.50元，动态PE约90倍，且9月11日放量下跌、最近10个交易日主力资金合计净流出约5,360万元。若主营盈利修复低于预期或投资损失持续，较高估值可能面临盈利预测下修和估值消化压力。</w:t>
      </w:r>
    </w:p>
    <w:p>
      <w:pPr>
        <w:pStyle w:val="ListParagraph"/>
        <w:numPr>
          <w:ilvl w:val="0"/>
          <w:numId w:val="2"/>
        </w:numPr>
        <w:spacing w:after="80" w:line="280"/>
      </w:pPr>
      <w:r>
        <w:rPr>
          <w:sz w:val="22"/>
          <w:szCs w:val="22"/>
        </w:rPr>
        <w:t xml:space="preserve">回购及员工持股计划落地不及预期风险：公司已通过1亿至2亿元股份回购方案，但截至2026年8月31日尚未实施；员工持股计划虽已持续增持，但相关安排不能直接保证主营业务改善，若回购进度、实施规模或后续激励效果低于预期，可能影响市场对公司治理和业绩修复的预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科德教育的中长期增长逻辑主要来自两条主线：教育业务通过提升招生规模、学校利用率、教学管理效率以及升学服务质量改善盈利；油墨业务则依靠环保及功能型产品升级、原材料成本控制、产品结构优化、海外渠道和技术服务提升竞争力。2025年油墨毛利率改善，且公司具备环保油墨研发、专利和海外销售基础，但教育业务收入及毛利率连续承压，双主业之间的盈利改善节奏并不一致。</w:t>
      </w:r>
    </w:p>
    <w:p>
      <w:pPr>
        <w:spacing w:after="160" w:line="300"/>
      </w:pPr>
      <w:r>
        <w:rPr>
          <w:sz w:val="22"/>
          <w:szCs w:val="22"/>
        </w:rPr>
        <w:t xml:space="preserve">当前业绩观察重点在于教育业务能否止跌、油墨毛利率改善能否持续，以及投资收益亏损是否收窄。人工智能及信息技术业务、香港投资平台和回购员工持股安排能够改善市场预期，但目前缺乏明确订单、项目收益或盈利目标，尚不足以替代主营业务对业绩的验证。机构预测与实际业绩之间也存在较大不确定性，较早的民生证券预测尚未反映2026年半年度报告的利润变化。</w:t>
      </w:r>
    </w:p>
    <w:p>
      <w:pPr>
        <w:spacing w:after="160" w:line="300"/>
      </w:pPr>
      <w:r>
        <w:rPr>
          <w:sz w:val="22"/>
          <w:szCs w:val="22"/>
        </w:rPr>
        <w:t xml:space="preserve">从交易和估值角度看，股价处于阶段高位回撤后的确认阶段，17.10至17.40元为短期观察支撑区，18.30至18.60元为反弹压力区，技术信号仍可能受到高估值、资金流向和创业板风险偏好的共同影响。公司后续表现取决于主营盈利修复、投资损失变化及新业务落地情况，现阶段应重点关注财务兑现与公告进展，而非仅依据回购、员工持股或技术形态判断公司价值。</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https://static.cninfo.com.cn/finalpage/2026-04-29/1225241167.pdf — https://static.cninfo.com.cn/finalpage/2026-04-29/1225241167.pdf</w:t>
      </w:r>
    </w:p>
    <w:p>
      <w:pPr>
        <w:spacing w:after="200"/>
      </w:pPr>
      <w:r>
        <w:rPr>
          <w:i/>
          <w:iCs/>
          <w:color w:val="595959"/>
          <w:sz w:val="18"/>
          <w:szCs w:val="18"/>
        </w:rPr>
        <w:t xml:space="preserve">https://static.cninfo.com.cn/finalpage/2025-04-29/1223358099.PDF — https://static.cninfo.com.cn/finalpage/2025-04-29/1223358099.PDF</w:t>
      </w:r>
    </w:p>
    <w:p>
      <w:pPr>
        <w:spacing w:after="200"/>
      </w:pPr>
      <w:r>
        <w:rPr>
          <w:i/>
          <w:iCs/>
          <w:color w:val="595959"/>
          <w:sz w:val="18"/>
          <w:szCs w:val="18"/>
        </w:rPr>
        <w:t xml:space="preserve">苏州科德教育科技股份有限公司 2025 年年度报告全文 — https://static.cninfo.com.cn/finalpage/2026-04-29/1225241167.pdf?utm_source=openai</w:t>
      </w:r>
    </w:p>
    <w:p>
      <w:pPr>
        <w:spacing w:after="200"/>
      </w:pPr>
      <w:r>
        <w:rPr>
          <w:i/>
          <w:iCs/>
          <w:color w:val="595959"/>
          <w:sz w:val="18"/>
          <w:szCs w:val="18"/>
        </w:rPr>
        <w:t xml:space="preserve">杭华油墨股份有限公司2024年年度报告 — https://static.cninfo.com.cn/finalpage/2025-04-22/1223184991.PDF?utm_source=openai</w:t>
      </w:r>
    </w:p>
    <w:p>
      <w:pPr>
        <w:spacing w:after="200"/>
      </w:pPr>
      <w:r>
        <w:rPr>
          <w:i/>
          <w:iCs/>
          <w:color w:val="595959"/>
          <w:sz w:val="18"/>
          <w:szCs w:val="18"/>
        </w:rPr>
        <w:t xml:space="preserve">教育行业研究框架及观点更新：柳暗花明又一村-研究报告正文 _ 数据中心 _ 东方财富网 — https://data.eastmoney.com/report/zw_industry.jshtml?infocode=AP202409041639740575&amp;utm_source=openai</w:t>
      </w:r>
    </w:p>
    <w:p>
      <w:pPr>
        <w:spacing w:after="200"/>
      </w:pPr>
      <w:r>
        <w:rPr>
          <w:i/>
          <w:iCs/>
          <w:color w:val="595959"/>
          <w:sz w:val="18"/>
          <w:szCs w:val="18"/>
        </w:rPr>
        <w:t xml:space="preserve">科德教育(300192)_公司公告_科德教育：2026年半年度报告摘要新浪财经_新浪网 — https://money.finance.sina.com.cn/corp/view/vCB_AllBulletinDetail.php?id=12573312&amp;stockid=300192&amp;utm_source=openai</w:t>
      </w:r>
    </w:p>
    <w:p>
      <w:pPr>
        <w:spacing w:after="200"/>
      </w:pPr>
      <w:r>
        <w:rPr>
          <w:i/>
          <w:iCs/>
          <w:color w:val="595959"/>
          <w:sz w:val="18"/>
          <w:szCs w:val="18"/>
        </w:rPr>
        <w:t xml:space="preserve">科德教育(300192)_公司公告_科德教育：2026年半年度报告新浪财经_新浪网 — https://money.finance.sina.com.cn/corp/view/vCB_AllBulletinDetail.php?id=12573311&amp;stockid=300192</w:t>
      </w:r>
    </w:p>
    <w:p>
      <w:pPr>
        <w:spacing w:after="200"/>
      </w:pPr>
      <w:r>
        <w:rPr>
          <w:i/>
          <w:iCs/>
          <w:color w:val="595959"/>
          <w:sz w:val="18"/>
          <w:szCs w:val="18"/>
        </w:rPr>
        <w:t xml:space="preserve">苏州科德教育科技股份有限公司 — https://disc.static.szse.cn/disc/disk03/finalpage/2026-04-29/22b3899e-c285-4113-8359-3256b9892dc3.pdf?utm_source=openai</w:t>
      </w:r>
    </w:p>
    <w:p>
      <w:pPr>
        <w:spacing w:after="200"/>
      </w:pPr>
      <w:r>
        <w:rPr>
          <w:i/>
          <w:iCs/>
          <w:color w:val="595959"/>
          <w:sz w:val="18"/>
          <w:szCs w:val="18"/>
        </w:rPr>
        <w:t xml:space="preserve">科德教育(300192) 盈利预测_F10_同花顺金融服务网 — https://basic.10jqka.com.cn/300192/worth.html</w:t>
      </w:r>
    </w:p>
    <w:p>
      <w:pPr>
        <w:spacing w:after="200"/>
      </w:pPr>
      <w:r>
        <w:rPr>
          <w:i/>
          <w:iCs/>
          <w:color w:val="595959"/>
          <w:sz w:val="18"/>
          <w:szCs w:val="18"/>
        </w:rPr>
        <w:t xml:space="preserve">https://pdf.dfcfw.com/pdf/H3_AP202508271735543478_1.pdf?1756331160000.pdf= — https://pdf.dfcfw.com/pdf/H3_AP202508271735543478_1.pdf?1756331160000.pdf=</w:t>
      </w:r>
    </w:p>
    <w:p>
      <w:pPr>
        <w:spacing w:after="200"/>
      </w:pPr>
      <w:r>
        <w:rPr>
          <w:i/>
          <w:iCs/>
          <w:color w:val="595959"/>
          <w:sz w:val="18"/>
          <w:szCs w:val="18"/>
        </w:rPr>
        <w:t xml:space="preserve">科德教育(300192) - 股票行情中心 - 搜狐证券 — https://q.stock.sohu.com/cn/300192/?utm_source=openai</w:t>
      </w:r>
    </w:p>
    <w:p>
      <w:pPr>
        <w:spacing w:after="200"/>
      </w:pPr>
      <w:r>
        <w:rPr>
          <w:i/>
          <w:iCs/>
          <w:color w:val="595959"/>
          <w:sz w:val="18"/>
          <w:szCs w:val="18"/>
        </w:rPr>
        <w:t xml:space="preserve">科德教育 (300192) - 历史交易数据 | 打板客网 — https://dabanke.com/hangqing-300192.html</w:t>
      </w:r>
    </w:p>
    <w:p>
      <w:pPr>
        <w:spacing w:after="200"/>
      </w:pPr>
      <w:r>
        <w:rPr>
          <w:i/>
          <w:iCs/>
          <w:color w:val="595959"/>
          <w:sz w:val="18"/>
          <w:szCs w:val="18"/>
        </w:rPr>
        <w:t xml:space="preserve">科德教育：2026年上半年净利润1868.86万元 同比下降64.92%_公司_市净率_净资产收益率 — https://www.sohu.com/a/1069246627_120988533?utm_source=openai</w:t>
      </w:r>
    </w:p>
    <w:p>
      <w:pPr>
        <w:spacing w:after="200"/>
      </w:pPr>
      <w:r>
        <w:rPr>
          <w:i/>
          <w:iCs/>
          <w:color w:val="595959"/>
          <w:sz w:val="18"/>
          <w:szCs w:val="18"/>
        </w:rPr>
        <w:t xml:space="preserve">证券代码：300192  证券简称：科德教育  公告编号：2026-038 — https://static.cninfo.com.cn/finalpage/2026-07-18/1225431239.PDF?utm_source=openai</w:t>
      </w:r>
    </w:p>
    <w:p>
      <w:pPr>
        <w:spacing w:after="200"/>
      </w:pPr>
      <w:r>
        <w:rPr>
          <w:i/>
          <w:iCs/>
          <w:color w:val="595959"/>
          <w:sz w:val="18"/>
          <w:szCs w:val="18"/>
        </w:rPr>
        <w:t xml:space="preserve">科德教育(300192.SZ)：“跃迁者”第一期员工持股计划累计买入88.67万股_新浪财经_新浪网 — https://finance.sina.com.cn/stock/bxjj/2026-07-30/doc-inikqqha9701078.shtml?utm_source=openai</w:t>
      </w:r>
    </w:p>
    <w:p>
      <w:pPr>
        <w:spacing w:after="200"/>
      </w:pPr>
      <w:r>
        <w:rPr>
          <w:i/>
          <w:iCs/>
          <w:color w:val="595959"/>
          <w:sz w:val="18"/>
          <w:szCs w:val="18"/>
        </w:rPr>
        <w:t xml:space="preserve">科德教育_ 个股日历 _ 东方财富网_ 数据频道 — https://data.eastmoney.com/stockcalendar/300192.html?utm_source=openai</w:t>
      </w:r>
    </w:p>
    <w:p>
      <w:pPr>
        <w:spacing w:after="200"/>
      </w:pPr>
      <w:r>
        <w:rPr>
          <w:i/>
          <w:iCs/>
          <w:color w:val="595959"/>
          <w:sz w:val="18"/>
          <w:szCs w:val="18"/>
        </w:rPr>
        <w:t xml:space="preserve">科德教育(300192)_公司公告_科德教育：2026年半年度报告新浪财经_新浪网 — https://vip.stock.finance.sina.com.cn/corp/view/vCB_AllBulletinDetail.php?id=12573311&amp;stockid=300192&amp;utm_source=openai</w:t>
      </w:r>
    </w:p>
    <w:p>
      <w:pPr>
        <w:spacing w:after="200"/>
      </w:pPr>
      <w:r>
        <w:rPr>
          <w:i/>
          <w:iCs/>
          <w:color w:val="595959"/>
          <w:sz w:val="18"/>
          <w:szCs w:val="18"/>
        </w:rPr>
        <w:t xml:space="preserve">证券代码：300192  证券简称：科德教育  公告编号：2026-046 — https://static.cninfo.com.cn/finalpage/2026-08-11/1225469168.PDF?utm_source=openai</w:t>
      </w:r>
    </w:p>
    <w:p>
      <w:pPr>
        <w:spacing w:after="200"/>
      </w:pPr>
      <w:r>
        <w:rPr>
          <w:i/>
          <w:iCs/>
          <w:color w:val="595959"/>
          <w:sz w:val="18"/>
          <w:szCs w:val="18"/>
        </w:rPr>
        <w:t xml:space="preserve">目，经相关部门批准后方可开展经营活动，具体经营项目以审批结果为准）一般项目：技术服务、技术开发、技术咨询、技术交流、技术转让、技术推广；人工智能行业应用系统集成服务；企业管理咨询；市场调查（不含涉外调查）；安全咨询服务；人力资源服务（不含职业中介活动、劳务派遣服务）；业务培训（不含教育培训、职业技能培训等需取得许可的培训）；计算机系统服务；软件开发；软件销售；信息系统运行维护服务；人工智能硬件销售；人工智能通用应用系统；人工智能基础软件开发；人工智能理论与算法软件开发；人工智能应用软件开发；企业管理；信息咨询服务（不含许可类信息咨询服务）；信息技术咨询服务；教育咨询服务（不含涉许可审批的教育培训活动）；互联网销售（除销售需要许可的商品）；招生辅助服务（除依法须经批准的项目外，凭营业执照依法自主开展经营活动） — https://static.cninfo.com.cn/finalpage/2026-08-11/1225469170.PDF?utm_source=openai</w:t>
      </w:r>
    </w:p>
    <w:p>
      <w:pPr>
        <w:spacing w:after="200"/>
      </w:pPr>
      <w:r>
        <w:rPr>
          <w:i/>
          <w:iCs/>
          <w:color w:val="595959"/>
          <w:sz w:val="18"/>
          <w:szCs w:val="18"/>
        </w:rPr>
        <w:t xml:space="preserve">科德教育(300192)公司公告_新浪财经_新浪网 — https://vip.stock.finance.sina.com.cn/corp/go.php/vCB_AllBulletin/stockid/300192.phtml?ftype=lsgg&amp;utm_source=openai</w:t>
      </w:r>
    </w:p>
    <w:p>
      <w:pPr>
        <w:spacing w:after="200"/>
      </w:pPr>
      <w:r>
        <w:rPr>
          <w:i/>
          <w:iCs/>
          <w:color w:val="595959"/>
          <w:sz w:val="18"/>
          <w:szCs w:val="18"/>
        </w:rPr>
        <w:t xml:space="preserve">证券代码：300192  证券简称：科德教育  公告编号：2026-050 — https://disc.static.szse.cn/download/disc/disk03/finalpage/2026-08-19/d7061459-bf6c-4e8c-a255-b574a5772a82.PDF?utm_source=openai</w:t>
      </w:r>
    </w:p>
    <w:p>
      <w:pPr>
        <w:spacing w:after="200"/>
      </w:pPr>
      <w:r>
        <w:rPr>
          <w:i/>
          <w:iCs/>
          <w:color w:val="595959"/>
          <w:sz w:val="18"/>
          <w:szCs w:val="18"/>
        </w:rPr>
        <w:t xml:space="preserve">天风证券股份有限公司
关于
苏州科德教育科技股份有限公司详式权益变动报告书
之2026年第一季度持续 — https://notice.10jqka.com.cn/api/pdf/2eb538f7f4aa5436.pdf?utm_source=openai</w:t>
      </w:r>
    </w:p>
    <w:p>
      <w:pPr>
        <w:spacing w:after="200"/>
      </w:pPr>
      <w:r>
        <w:rPr>
          <w:i/>
          <w:iCs/>
          <w:color w:val="595959"/>
          <w:sz w:val="18"/>
          <w:szCs w:val="18"/>
        </w:rPr>
        <w:t xml:space="preserve">科德教育(300192)_公司公告_科德教育：关于变更持续督导财务顾问主办人的公告新浪财经_新浪网 — https://vip.stock.finance.sina.com.cn/corp/view/vCB_AllBulletinDetail.php?id=12585698&amp;stockid=300192&amp;utm_source=openai</w:t>
      </w:r>
    </w:p>
    <w:p>
      <w:pPr>
        <w:spacing w:after="200"/>
      </w:pPr>
      <w:r>
        <w:rPr>
          <w:i/>
          <w:iCs/>
          <w:color w:val="595959"/>
          <w:sz w:val="18"/>
          <w:szCs w:val="18"/>
        </w:rPr>
        <w:t xml:space="preserve">科德教育(300192) 股东研究_F10_同花顺金融服务网 — https://basic.10jqka.com.cn/300192/holder.html?utm_source=openai</w:t>
      </w:r>
    </w:p>
    <w:p>
      <w:pPr>
        <w:spacing w:after="200"/>
      </w:pPr>
      <w:r>
        <w:rPr>
          <w:i/>
          <w:iCs/>
          <w:color w:val="595959"/>
          <w:sz w:val="18"/>
          <w:szCs w:val="18"/>
        </w:rPr>
        <w:t xml:space="preserve">教育行业周报：新政赋能教育升级 师资教材双向提质 — https://quote.cfi.cn/ybdata.aspx?id=20260909000098&amp;utm_source=openai</w:t>
      </w:r>
    </w:p>
    <w:p>
      <w:pPr>
        <w:spacing w:after="200"/>
      </w:pPr>
      <w:r>
        <w:rPr>
          <w:i/>
          <w:iCs/>
          <w:color w:val="595959"/>
          <w:sz w:val="18"/>
          <w:szCs w:val="18"/>
        </w:rPr>
        <w:t xml:space="preserve">科德教育(300192)_公司公告_科德教育：2026年半年度报告摘要新浪财经_新浪网 — https://money.finance.sina.com.cn/corp/view/vCB_AllBulletinDetail.php?id=12573312&amp;stockid=300192</w:t>
      </w:r>
    </w:p>
    <w:p>
      <w:pPr>
        <w:spacing w:after="200"/>
      </w:pPr>
      <w:r>
        <w:rPr>
          <w:i/>
          <w:iCs/>
          <w:color w:val="595959"/>
          <w:sz w:val="18"/>
          <w:szCs w:val="18"/>
        </w:rPr>
        <w:t xml:space="preserve">科斯伍德(300192)股票历史数据:历史行情,价格,走势图表_英为财情Investing.com — https://cn.investing.com/equities/suzhou-kingswood-printing-historical-data?utm_source=openai</w:t>
      </w:r>
    </w:p>
    <w:p>
      <w:pPr>
        <w:spacing w:after="200"/>
      </w:pPr>
      <w:r>
        <w:rPr>
          <w:i/>
          <w:iCs/>
          <w:color w:val="595959"/>
          <w:sz w:val="18"/>
          <w:szCs w:val="18"/>
        </w:rPr>
        <w:t xml:space="preserve">单股调研 — https://www.ashare-dashboard.com/stocks?ts_code=300192.SZ&amp;utm_source=openai</w:t>
      </w:r>
    </w:p>
    <w:p>
      <w:pPr>
        <w:spacing w:after="200"/>
      </w:pPr>
      <w:r>
        <w:rPr>
          <w:i/>
          <w:iCs/>
          <w:color w:val="595959"/>
          <w:sz w:val="18"/>
          <w:szCs w:val="18"/>
        </w:rPr>
        <w:t xml:space="preserve">科德教育(300192.SZ) 股票行情_历史数据_主力资金 - 大波浪数据 — https://www.yyqyx.com/s/300192.SZ</w:t>
      </w:r>
    </w:p>
    <w:p>
      <w:pPr>
        <w:spacing w:after="200"/>
      </w:pPr>
      <w:r>
        <w:rPr>
          <w:i/>
          <w:iCs/>
          <w:color w:val="595959"/>
          <w:sz w:val="18"/>
          <w:szCs w:val="18"/>
        </w:rPr>
        <w:t xml:space="preserve">科德教育 (300192) - 历史交易数据 | 打板客网 — https://dabanke.com/hangqing-300192.html?utm_source=openai</w:t>
      </w:r>
    </w:p>
    <w:p>
      <w:pPr>
        <w:spacing w:after="200"/>
      </w:pPr>
      <w:r>
        <w:rPr>
          <w:i/>
          <w:iCs/>
          <w:color w:val="595959"/>
          <w:sz w:val="18"/>
          <w:szCs w:val="18"/>
        </w:rPr>
        <w:t xml:space="preserve">科德教育(300192) 股东研究_F10_同花顺金融服务网 — https://basic.10jqka.com.cn/300192/holder.html</w:t>
      </w:r>
    </w:p>
    <w:p>
      <w:pPr>
        <w:spacing w:after="200"/>
      </w:pPr>
      <w:r>
        <w:rPr>
          <w:i/>
          <w:iCs/>
          <w:color w:val="595959"/>
          <w:sz w:val="18"/>
          <w:szCs w:val="18"/>
        </w:rPr>
        <w:t xml:space="preserve">科德教育：关于股份回购事项股东会股权登记日前十大股东和前十大无限售条件股东持股情况的公告_手机同花顺财经 — https://m.10jqka.com.cn/sn/20260730/59053069.shtml?utm_source=openai</w:t>
      </w:r>
    </w:p>
    <w:p>
      <w:pPr>
        <w:spacing w:after="200"/>
      </w:pPr>
      <w:r>
        <w:rPr>
          <w:i/>
          <w:iCs/>
          <w:color w:val="595959"/>
          <w:sz w:val="18"/>
          <w:szCs w:val="18"/>
        </w:rPr>
        <w:t xml:space="preserve">本报告由AI基于公开渠道信息自动检索、整理并生成，信息截至 截至2026年9月11日收盘；MA、MACD、RSI及布林带等完整技术指标最新可核实日期为2026年9月4日，部分行情及资金数据存在页面延迟或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2026-09-13T14:16:46.044Z</dcterms:created>
  <dcterms:modified xsi:type="dcterms:W3CDTF">2026-09-13T14:16:46.044Z</dcterms:modified>
</cp:coreProperties>
</file>

<file path=docProps/custom.xml><?xml version="1.0" encoding="utf-8"?>
<Properties xmlns="http://schemas.openxmlformats.org/officeDocument/2006/custom-properties" xmlns:vt="http://schemas.openxmlformats.org/officeDocument/2006/docPropsVTypes"/>
</file>