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瑞丰高材 (300243)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行业：高分子塑料助剂</w:t>
      </w:r>
    </w:p>
    <w:p>
      <w:pPr>
        <w:jc w:val="center"/>
      </w:pPr>
      <w:r>
        <w:rPr>
          <w:color w:val="595959"/>
          <w:sz w:val="22"/>
          <w:szCs w:val="22"/>
        </w:rPr>
        <w:t xml:space="preserve">报告日期：2026年10月7日</w:t>
      </w:r>
    </w:p>
    <w:p>
      <w:pPr>
        <w:jc w:val="center"/>
      </w:pPr>
      <w:r>
        <w:rPr>
          <w:color w:val="595959"/>
          <w:sz w:val="20"/>
          <w:szCs w:val="20"/>
        </w:rPr>
        <w:t xml:space="preserve">行情截至2026-09-30收盘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核心结论：利润修复已出现，但现金转化偏弱且估值处于高位，增长兑现仍是关键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20.38元（-7.07%）</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约56.97亿元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74.84倍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3.68倍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9.66～24.96元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5.87亿元／12.50%</w:t>
            </w:r>
          </w:p>
        </w:tc>
      </w:tr>
    </w:tbl>
    <w:p>
      <w:pPr>
        <w:spacing w:before="200"/>
      </w:pPr>
    </w:p>
    <w:p>
      <w:pPr>
        <w:spacing w:after="200"/>
      </w:pPr>
      <w:r>
        <w:rPr>
          <w:i/>
          <w:iCs/>
          <w:color w:val="595959"/>
          <w:sz w:val="18"/>
          <w:szCs w:val="18"/>
        </w:rPr>
        <w:t xml:space="preserve">行情数据截至：2026-09-30收盘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中报利润显著修复，收入增长仍温和</w:t>
      </w:r>
      <w:r>
        <w:rPr>
          <w:sz w:val="22"/>
          <w:szCs w:val="22"/>
        </w:rPr>
        <w:t xml:space="preserve">：2026年中报营收10.97亿元、同比增长9.04%；归母净利润0.59亿元、同比增长348.43%，毛利率升至18.86%。</w:t>
      </w:r>
    </w:p>
    <w:p>
      <w:pPr>
        <w:pStyle w:val="ListParagraph"/>
        <w:numPr>
          <w:ilvl w:val="0"/>
          <w:numId w:val="2"/>
        </w:numPr>
        <w:spacing w:after="80" w:line="280"/>
      </w:pPr>
      <w:r>
        <w:rPr>
          <w:b/>
          <w:bCs/>
          <w:sz w:val="22"/>
          <w:szCs w:val="22"/>
        </w:rPr>
        <w:t xml:space="preserve">工程塑料助剂放量是主要增量来源</w:t>
      </w:r>
      <w:r>
        <w:rPr>
          <w:sz w:val="22"/>
          <w:szCs w:val="22"/>
        </w:rPr>
        <w:t xml:space="preserve">：2026年上半年工程塑料助剂收入增长42.51%；传统PVC助剂仍受售价随原料下行及同行竞争影响，新业务放量能否延续是增长关键。</w:t>
      </w:r>
    </w:p>
    <w:p>
      <w:pPr>
        <w:pStyle w:val="ListParagraph"/>
        <w:numPr>
          <w:ilvl w:val="0"/>
          <w:numId w:val="2"/>
        </w:numPr>
        <w:spacing w:after="80" w:line="280"/>
      </w:pPr>
      <w:r>
        <w:rPr>
          <w:b/>
          <w:bCs/>
          <w:sz w:val="22"/>
          <w:szCs w:val="22"/>
        </w:rPr>
        <w:t xml:space="preserve">股价对应估值处于自身历史高位</w:t>
      </w:r>
      <w:r>
        <w:rPr>
          <w:sz w:val="22"/>
          <w:szCs w:val="22"/>
        </w:rPr>
        <w:t xml:space="preserve">：9月30日收盘20.38元，PE-TTM 74.84倍、PB-MRQ 3.68倍，分别处于近5.2年76%、82%分位；暂无可引用机构目标价。</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：一致预期2026—2028年净利润增速分别为315.4%、58.7%、58.0%，市场主流定价指向利润快速修复并延续增长。</w:t>
      </w:r>
    </w:p>
    <w:p>
      <w:pPr>
        <w:pStyle w:val="ListParagraph"/>
        <w:numPr>
          <w:ilvl w:val="0"/>
          <w:numId w:val="2"/>
        </w:numPr>
        <w:spacing w:after="80" w:line="280"/>
      </w:pPr>
      <w:r>
        <w:rPr>
          <w:b/>
          <w:bCs/>
          <w:sz w:val="22"/>
          <w:szCs w:val="22"/>
        </w:rPr>
        <w:t xml:space="preserve">证据显示</w:t>
      </w:r>
      <w:r>
        <w:rPr>
          <w:sz w:val="22"/>
          <w:szCs w:val="22"/>
        </w:rPr>
        <w:t xml:space="preserve">：中报利润与毛利率改善支持修复方向，但经营现金流同比下降81.96%、现金流/净利润仅0.11；全年高增长及后续持续性仍待验证。</w:t>
      </w:r>
    </w:p>
    <w:p>
      <w:pPr>
        <w:spacing w:after="160" w:line="300"/>
      </w:pPr>
      <w:r>
        <w:rPr>
          <w:b/>
          <w:bCs/>
          <w:color w:val="1F4E79"/>
          <w:sz w:val="22"/>
          <w:szCs w:val="22"/>
        </w:rPr>
        <w:t xml:space="preserve">证据倾向：偏空；置信度：中（部分财务字段仍缺官方核验或披露日期）</w:t>
      </w:r>
    </w:p>
    <w:p>
      <w:pPr>
        <w:spacing w:after="160" w:line="300"/>
      </w:pPr>
      <w:r>
        <w:rPr>
          <w:sz w:val="22"/>
          <w:szCs w:val="22"/>
        </w:rPr>
        <w:t xml:space="preserve">利润修复与新业务增长已有数据支持，但现金转化弱、ROE偏低，且估值处于历史高位。</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生产销售PVC助剂及工程塑料助剂，面向塑料制品和改性塑料企业，价格随原料成本与市场供求调整。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PVC助剂</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92.05%（2025年）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14.24%</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-4.00%（2025年同比）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销量增长7.57%，原料价格下降带动产品售价下行</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工程塑料助剂</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7.47%（2025年）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25.79%</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37.75%（2025年同比）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销量增长45.18%，现有产能利用率103.03%</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其他</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0.49%（2025年）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53.40%（2025年同比）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收入956.61万元</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竞争优势强度：弱</w:t>
      </w:r>
    </w:p>
    <w:p>
      <w:pPr>
        <w:pStyle w:val="ListParagraph"/>
        <w:numPr>
          <w:ilvl w:val="0"/>
          <w:numId w:val="2"/>
        </w:numPr>
        <w:spacing w:after="80" w:line="280"/>
      </w:pPr>
      <w:r>
        <w:rPr>
          <w:sz w:val="22"/>
          <w:szCs w:val="22"/>
        </w:rPr>
        <w:t xml:space="preserve">PVC助剂产能20万吨/年，覆盖ACR、MBS、MC多品类。</w:t>
      </w:r>
    </w:p>
    <w:p>
      <w:pPr>
        <w:pStyle w:val="ListParagraph"/>
        <w:numPr>
          <w:ilvl w:val="0"/>
          <w:numId w:val="2"/>
        </w:numPr>
        <w:spacing w:after="80" w:line="280"/>
      </w:pPr>
      <w:r>
        <w:rPr>
          <w:sz w:val="22"/>
          <w:szCs w:val="22"/>
        </w:rPr>
        <w:t xml:space="preserve">2025年有效专利68项，其中发明专利48项。</w:t>
      </w:r>
    </w:p>
    <w:p>
      <w:pPr>
        <w:pStyle w:val="ListParagraph"/>
        <w:numPr>
          <w:ilvl w:val="0"/>
          <w:numId w:val="2"/>
        </w:numPr>
        <w:spacing w:after="80" w:line="280"/>
      </w:pPr>
      <w:r>
        <w:rPr>
          <w:sz w:val="22"/>
          <w:szCs w:val="22"/>
        </w:rPr>
        <w:t xml:space="preserve">工程塑料助剂收入增长、毛利率较高，但占比仅7.47%。</w:t>
      </w:r>
    </w:p>
    <w:p>
      <w:pPr>
        <w:spacing w:after="160" w:line="300"/>
      </w:pPr>
      <w:r>
        <w:rPr>
          <w:sz w:val="22"/>
          <w:szCs w:val="22"/>
        </w:rPr>
        <w:t xml:space="preserve">主要威胁：PVC助剂同行降价竞争，叠加MMA、丁二烯、苯乙烯等原料波动，可能压缩利润；新业务扩产和市场开拓亦有不确定性。</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主要采购石化原料，包括MMA、丁二烯、苯乙烯等；2025年塑料助剂直接材料成本13.32亿元，占该行业成本79.70%。</w:t>
      </w:r>
    </w:p>
    <w:p>
      <w:pPr>
        <w:pStyle w:val="ListParagraph"/>
        <w:numPr>
          <w:ilvl w:val="0"/>
          <w:numId w:val="2"/>
        </w:numPr>
        <w:spacing w:after="80" w:line="280"/>
      </w:pPr>
      <w:r>
        <w:rPr>
          <w:sz w:val="22"/>
          <w:szCs w:val="22"/>
        </w:rPr>
        <w:t xml:space="preserve">2025年前五大供应商采购额占比37.64%，第一大占14.60%；年报未披露供应商名称。原料成本受大宗行情影响，公司仅能随成本及供求调整售价。</w:t>
      </w:r>
    </w:p>
    <w:p>
      <w:pPr>
        <w:pStyle w:val="ListParagraph"/>
        <w:numPr>
          <w:ilvl w:val="0"/>
          <w:numId w:val="2"/>
        </w:numPr>
        <w:spacing w:after="80" w:line="280"/>
      </w:pPr>
      <w:r>
        <w:rPr>
          <w:sz w:val="22"/>
          <w:szCs w:val="22"/>
        </w:rPr>
        <w:t xml:space="preserve">客户主要为PVC制品企业及工程塑料改性企业，采用订单销售，产品售价随原料采购价及市场供求调整。</w:t>
      </w:r>
    </w:p>
    <w:p>
      <w:pPr>
        <w:pStyle w:val="ListParagraph"/>
        <w:numPr>
          <w:ilvl w:val="0"/>
          <w:numId w:val="2"/>
        </w:numPr>
        <w:spacing w:after="80" w:line="280"/>
      </w:pPr>
      <w:r>
        <w:rPr>
          <w:sz w:val="22"/>
          <w:szCs w:val="22"/>
        </w:rPr>
        <w:t xml:space="preserve">PVC助剂存在同行降价竞争；年报未披露汽车零部件常见年降条款，不宜套用该议价模式。</w:t>
      </w:r>
    </w:p>
    <w:p>
      <w:pPr>
        <w:pStyle w:val="ListParagraph"/>
        <w:numPr>
          <w:ilvl w:val="0"/>
          <w:numId w:val="2"/>
        </w:numPr>
        <w:spacing w:after="80" w:line="280"/>
      </w:pPr>
      <w:r>
        <w:rPr>
          <w:sz w:val="22"/>
          <w:szCs w:val="22"/>
        </w:rPr>
        <w:t xml:space="preserve">2025年年报：前五大客户销售占比19.23%，第一大客户9.12%；客户匿名披露，无法核对身份及终端分布。</w:t>
      </w:r>
    </w:p>
    <w:p>
      <w:pPr>
        <w:pStyle w:val="ListParagraph"/>
        <w:numPr>
          <w:ilvl w:val="0"/>
          <w:numId w:val="2"/>
        </w:numPr>
        <w:spacing w:after="80" w:line="280"/>
      </w:pPr>
      <w:r>
        <w:rPr>
          <w:sz w:val="22"/>
          <w:szCs w:val="22"/>
        </w:rPr>
        <w:t xml:space="preserve">2025年末应收账款4.41亿元，占营收22.4%、为归母净利14.5倍；平均余额/营收估算周转约79.5天，未作季节调整。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18.42%</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4.90%</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16.82%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3.34%</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18.26%</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4.80%</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14.81%</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约1.10%</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年报称原料波动、毛利率下降；PBAT转固折旧及可转债利息摊销影响业绩</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15.14%</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约1.54%</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原料降价带动PVC助剂售价下降；工程塑料助剂占比提升，业务结构有所改善</w:t>
            </w:r>
          </w:p>
        </w:tc>
      </w:tr>
    </w:tbl>
    <w:p>
      <w:pPr>
        <w:spacing w:before="200"/>
      </w:pPr>
    </w:p>
    <w:p>
      <w:pPr>
        <w:spacing w:after="160" w:line="300"/>
      </w:pPr>
      <w:r>
        <w:rPr>
          <w:sz w:val="22"/>
          <w:szCs w:val="22"/>
        </w:rPr>
        <w:t xml:space="preserve">公司处于中游高分子助剂制造环节，传统PVC助剂受大宗原料和竞争性定价约束。利润率改善更依赖工程塑料助剂放量、产品结构升级、产能利用率提升与成本控制，而非已证实的强定价权。</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PVC助剂行业已处成熟阶段，ACR、MBS、MC面对不同竞争格局；公司传统业务收入占比高，新业务增速和毛利率较好但体量仍小。</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日科化学（300214）</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ACR及部分PVC助剂直接参照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2025年营收37.42亿元；化工毛利率6.00%；ACR毛利率9.55%；归母亏损；PE(TTM) 亏损，不适用</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产品有重合，但含氯碱等业务，整体结构与瑞丰不同</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佳先股份（920489）</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PVC稳定剂及功能助剂邻近参照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2025年营收5.42亿元；综合毛利率10.58%；营业利润为负；PE(TTM) 亏损，不适用</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核心产品并非ACR、MBS，业务可比性有限</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兴业股份（603928）</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工程材料相关化工产品邻近参照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2025年主营收入15.95亿元；化工制造业主营毛利率15.74%；PE(TTM) 36.83倍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并非PVC助剂直接同业，产品与客户结构差异较大</w:t>
            </w:r>
          </w:p>
        </w:tc>
      </w:tr>
    </w:tbl>
    <w:p>
      <w:pPr>
        <w:spacing w:before="200"/>
      </w:pPr>
    </w:p>
    <w:p>
      <w:pPr>
        <w:spacing w:after="160" w:line="300"/>
      </w:pPr>
      <w:r>
        <w:rPr>
          <w:sz w:val="22"/>
          <w:szCs w:val="22"/>
        </w:rPr>
        <w:t xml:space="preserve">瑞丰高材的差异在于PVC助剂品类覆盖较全，并有增长较快、毛利率较高的工程塑料助剂业务；但后者收入占比不足一成，传统业务仍受原料传导和同行降价约束。现有披露尚不足以证明长期定价权或显著高于同行的稳定盈利优势。</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2026年中报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10.97亿元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+9.04%</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0.59亿元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+348.43%</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+318.89%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18.86%</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19.69亿元人民币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0.30亿元人民币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+37.40%</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+70.07%</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15.14%</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20.01亿元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+12.66%</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0.22亿元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-74.12%</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-77.50%</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14.81%</w:t>
            </w:r>
          </w:p>
        </w:tc>
      </w:tr>
    </w:tbl>
    <w:p>
      <w:pPr>
        <w:spacing w:before="200"/>
      </w:pPr>
    </w:p>
    <w:p>
      <w:pPr>
        <w:spacing w:after="200"/>
      </w:pPr>
      <w:r>
        <w:rPr>
          <w:i/>
          <w:iCs/>
          <w:color w:val="595959"/>
          <w:sz w:val="18"/>
          <w:szCs w:val="18"/>
        </w:rPr>
        <w:t xml:space="preserve">营业收入与归母净利润按同期间官方报表及明确币种列示；调整后盈利与法定利润分别比较。</w:t>
      </w:r>
    </w:p>
    <w:p>
      <w:pPr>
        <w:spacing w:after="160" w:line="300"/>
      </w:pPr>
      <w:r>
        <w:rPr>
          <w:sz w:val="22"/>
          <w:szCs w:val="22"/>
        </w:rPr>
        <w:t xml:space="preserve">中报利润高增由毛利率提升、销售增长驱动；工程塑料助剂收入增长42.51%。但经营现金流同比下降81.96%，公司称应收款项和存货增加所致。</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4.74%（2026中报）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回报水平仍低，盈利改善尚未转化为较高净资产收益。</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经营现金流净额/净利润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0.11（2026中报）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利润现金转化偏弱；公司称应收款项、存货增加压低现金流。</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33.58%（2026中报）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较2025年末的50.57%下降，账面负债率处于较低水平。</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利息保障倍数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5.7倍（2026中报）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较2025年报1.8倍改善，但仍需关注经营盈利对利息的覆盖。</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74.84倍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近5.2年76%分位（中位数35.01倍）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兴业股份36.83倍；日科化学、佳先股份亏损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3.68倍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近5.2年82%分位（中位数2.51倍）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中位数2.75倍（日科化学1.86、佳先股份3.45、兴业股份2.75）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2.77倍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近5.2年98%分位（中位数1.31倍）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中位数2.53倍（日科化学1.22、佳先股份3.08、兴业股份2.53）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0.44%（近12个月，按20.38元）</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估值倍数由程序按2026-09-30收盘数据计算（滚动十二个月口径）；同行倍数按2026-09-30收盘数据同口径计算</w:t>
      </w:r>
    </w:p>
    <w:p>
      <w:pPr>
        <w:spacing w:after="160" w:line="300"/>
      </w:pPr>
      <w:r>
        <w:rPr>
          <w:sz w:val="22"/>
          <w:szCs w:val="22"/>
        </w:rPr>
        <w:t xml:space="preserve">市场隐含预期：以当前74.84倍市盈率计，若投资者要求年化8%的回报、10年后按15倍市盈率估值，每股收益需年均增长约26.8%（不计分红，偏保守）。当前利润基数偏低、市盈率失真，这一增速只是算术结果，不宜直接当作市场预期。</w:t>
      </w:r>
    </w:p>
    <w:p>
      <w:pPr>
        <w:spacing w:after="160" w:line="300"/>
      </w:pPr>
      <w:r>
        <w:rPr>
          <w:sz w:val="22"/>
          <w:szCs w:val="22"/>
        </w:rPr>
        <w:t xml:space="preserve">PE-TTM 74.84倍、PB-MRQ 3.68倍、PS-TTM 2.77倍，分别处于近5.2年76%、82%、98%分位，均高于历史中位数。价格隐含工程塑料助剂放量和盈利快速兑现；市场隐含增速仅为低利润基数下的算术结果，不宜视作有效预期。</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22.04亿元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+315.4%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26.47亿元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31.38亿元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3.16亿元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+58.0%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1.13元</w:t>
            </w:r>
          </w:p>
        </w:tc>
      </w:tr>
    </w:tbl>
    <w:p>
      <w:pPr>
        <w:spacing w:before="200"/>
      </w:pPr>
    </w:p>
    <w:p>
      <w:pPr>
        <w:spacing w:after="200"/>
      </w:pPr>
      <w:r>
        <w:rPr>
          <w:i/>
          <w:iCs/>
          <w:color w:val="595959"/>
          <w:sz w:val="18"/>
          <w:szCs w:val="18"/>
        </w:rPr>
        <w:t xml:space="preserve">东方财富近六个月研报汇总，截至2026-10-07。可见机构研报明细，评级人数另计：2026E净利润样本数未披露、EPS样本数未披露；2027E净利润样本数未披露、EPS样本数未披露；2028E净利润样本数未披露、EPS样本数未披露</w:t>
      </w:r>
    </w:p>
    <w:p>
      <w:pPr>
        <w:pStyle w:val="Heading2"/>
        <w:spacing w:after="120" w:before="240"/>
      </w:pPr>
      <w:r>
        <w:rPr>
          <w:b/>
          <w:bCs/>
          <w:color w:val="2E74B5"/>
          <w:sz w:val="24"/>
          <w:szCs w:val="24"/>
        </w:rPr>
        <w:t xml:space="preserve">4.3 机构观点</w:t>
      </w:r>
    </w:p>
    <w:p>
      <w:pPr>
        <w:spacing w:after="160" w:line="300"/>
      </w:pPr>
      <w:r>
        <w:rPr>
          <w:sz w:val="22"/>
          <w:szCs w:val="22"/>
        </w:rPr>
        <w:t xml:space="preserve">暂无可引用的机构目标价</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近6个月（截至2026-10-07）</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评级样本共1家；无可引用目标价。</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瑞丰高材及康鹏科技股东会审议觅拓交易</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两场会议是否通过交易议案；任何一方未通过均影响交易推进。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2026-10-30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预约披露2026年三季报</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关注主营业务、利润与现金流，以及PETG/PCTG技改进度是否有明确披露。</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不晚于2026-11-15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觅拓交易过渡期约定期限</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关注交割先决条件、审批及实际交割进展；协议期限不等于交易必然完成。</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2026年底、2027年一季度</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工程塑料助剂一期建设及投运计划</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关注一期是否按计划建成并投入运行，以及CSR相关产能是否形成实际销售。</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2026-09-17 觅拓收购签署正式协议（中性）</w:t>
      </w:r>
      <w:r>
        <w:rPr>
          <w:sz w:val="22"/>
          <w:szCs w:val="22"/>
        </w:rPr>
        <w:t xml:space="preserve">：拟以总对价4.994亿元取得觅拓新材68.065%股权；标的上半年亏损，市场法评估增值549.91%，交易仍待双方股东会审议，资金与整合风险较高。</w:t>
      </w:r>
    </w:p>
    <w:p>
      <w:pPr>
        <w:pStyle w:val="ListParagraph"/>
        <w:numPr>
          <w:ilvl w:val="0"/>
          <w:numId w:val="2"/>
        </w:numPr>
        <w:spacing w:after="80" w:line="280"/>
      </w:pPr>
      <w:r>
        <w:rPr>
          <w:b/>
          <w:bCs/>
          <w:sz w:val="22"/>
          <w:szCs w:val="22"/>
        </w:rPr>
        <w:t xml:space="preserve">2026-07-28 半年报披露新业务建设计划（中性）</w:t>
      </w:r>
      <w:r>
        <w:rPr>
          <w:sz w:val="22"/>
          <w:szCs w:val="22"/>
        </w:rPr>
        <w:t xml:space="preserve">：公司称PBAT装置转产PETG/PCTG原计划三季度完成，工程塑料助剂一期计划年底建成、2027年一季度运行；截至基准日技改完成情况未获确认。</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工程塑料助剂毛利率25.79%，收入占比虽仅7.47%，但产品结构改善有望提升整体盈利质量。</w:t>
      </w:r>
    </w:p>
    <w:p>
      <w:pPr>
        <w:pStyle w:val="ListParagraph"/>
        <w:numPr>
          <w:ilvl w:val="0"/>
          <w:numId w:val="2"/>
        </w:numPr>
        <w:spacing w:after="80" w:line="280"/>
      </w:pPr>
      <w:r>
        <w:rPr>
          <w:sz w:val="22"/>
          <w:szCs w:val="22"/>
        </w:rPr>
        <w:t xml:space="preserve">该业务现有产能利用率103.03%；一期计划2026年底建成、2027年一季度运行，若按期投产可扩充增长来源。</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PVC助剂占2025年收入92.05%，当年收入下降4.00%，传统业务仍是业绩主体且承受降价竞争。</w:t>
      </w:r>
    </w:p>
    <w:p>
      <w:pPr>
        <w:pStyle w:val="ListParagraph"/>
        <w:numPr>
          <w:ilvl w:val="0"/>
          <w:numId w:val="2"/>
        </w:numPr>
        <w:spacing w:after="80" w:line="280"/>
      </w:pPr>
      <w:r>
        <w:rPr>
          <w:sz w:val="22"/>
          <w:szCs w:val="22"/>
        </w:rPr>
        <w:t xml:space="preserve">2026年中报加权ROE仅4.74%，盈利回升尚未转化为较高资本回报，支撑高估值的质量仍待改善。</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觅拓交易对价4.994亿元，标的上半年亏损且评估增值549.91%；审批、资金投入或整合不顺可能拖累利润与估值。</w:t>
      </w:r>
    </w:p>
    <w:p>
      <w:pPr>
        <w:pStyle w:val="ListParagraph"/>
        <w:numPr>
          <w:ilvl w:val="0"/>
          <w:numId w:val="2"/>
        </w:numPr>
        <w:spacing w:after="80" w:line="280"/>
      </w:pPr>
      <w:r>
        <w:rPr>
          <w:sz w:val="22"/>
          <w:szCs w:val="22"/>
        </w:rPr>
        <w:t xml:space="preserve">2025年末应收账款4.41亿元；若回款继续放缓或减值增加，将占用营运资金并压低利润现金转化。</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三季报利润与现金流</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预约2026年10月30日披露；中报经营现金流同比下降81.96%</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利润增长延续且经营现金流较中报明显改善</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利润增速回落，经营现金流继续走弱</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工程塑料助剂增长</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2026年上半年收入增长42.51%</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后续收入继续增长，且较高毛利率保持</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增速明显放缓或毛利率下滑</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工程塑料助剂一期投产</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计划2026年底建成、2027年一季度运行</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按期投产并形成实际销售</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建设延期或投产后销售未能兑现</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觅拓收购审批与交割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两场股东会定于2026年10月9日审议</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议案通过且过渡期内满足交割条件</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议案未通过、交割延期或整合进展不佳</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 以下为基于9月30日数据的主观情景推演，权重非统计概率；不构成投资建议。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9月30日单日下跌7.07%，收盘低于MA5、MA10，但仍高于MA20；MACD柱收缩，短线动能降温。18.99附近是重要观察位，向上需重新站回21.92~22.30元均线区。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MA5/MA10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MA5 22.30 / MA10 21.92</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收盘价低于短期均线，短线反弹先看均线压制。</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MA20/MA60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MA20 18.99 / MA60 16.33</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收盘价仍高于中期均线，18.99附近是近期支撑参考。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MACD DIF/DEA/柱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DIF 1.594 / DEA 1.424 / 柱 0.340</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仍在零轴上方，动能柱较前一日收缩。</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RSI6/RSI14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 44.7 / RSI14 55.1</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短周期动能转弱，中周期仍在中性区间。</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布林上轨/中轨/下轨</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上轨 25.31 / 中轨 18.99 / 下轨 12.67</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中轨与MA20重合，价格回落至中轨上方。</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21.92~22.30元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对应MA10与MA5；有效突破后关注24.96元近期高点。</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18.99~18.99元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对应MA20及布林中轨；失守后回看15.10元近期低点。</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12.67~15.10元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对应近20日低点与布林下轨；跌破后下方参考52周低点9.66元。</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以2026-09-30价格20.38元为基准，用近300个交易日的收益分布（按当前指数加权日波动率约6.1%缩放，保留这只股票自身的大涨大跌频率）推算未来5个交易日的收盘价范围：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18.22～23.51元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-10.6%～+15.4%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16.09～30.80元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-21.1%～+51.1%</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震荡整理（相对权重较高，约五成）</w:t>
      </w:r>
      <w:r>
        <w:rPr>
          <w:sz w:val="22"/>
          <w:szCs w:val="22"/>
        </w:rPr>
        <w:t xml:space="preserve">：18.99元附近支撑有效、但未能站回22.30元时，关注18.99~22.30元区间。按历史波动率测算，一周后收盘落在该区间的概率约45%。</w:t>
      </w:r>
    </w:p>
    <w:p>
      <w:pPr>
        <w:pStyle w:val="ListParagraph"/>
        <w:numPr>
          <w:ilvl w:val="0"/>
          <w:numId w:val="2"/>
        </w:numPr>
        <w:spacing w:after="80" w:line="280"/>
      </w:pPr>
      <w:r>
        <w:rPr>
          <w:b/>
          <w:bCs/>
          <w:sz w:val="22"/>
          <w:szCs w:val="22"/>
        </w:rPr>
        <w:t xml:space="preserve">偏弱下行（权重中等，约三成）</w:t>
      </w:r>
      <w:r>
        <w:rPr>
          <w:sz w:val="22"/>
          <w:szCs w:val="22"/>
        </w:rPr>
        <w:t xml:space="preserve">：若收盘有效跌破18.99元且卖压延续，关注15.10~18.99元区间。按历史波动率测算，一周后收盘落在该区间的概率约25%。</w:t>
      </w:r>
    </w:p>
    <w:p>
      <w:pPr>
        <w:pStyle w:val="ListParagraph"/>
        <w:numPr>
          <w:ilvl w:val="0"/>
          <w:numId w:val="2"/>
        </w:numPr>
        <w:spacing w:after="80" w:line="280"/>
      </w:pPr>
      <w:r>
        <w:rPr>
          <w:b/>
          <w:bCs/>
          <w:sz w:val="22"/>
          <w:szCs w:val="22"/>
        </w:rPr>
        <w:t xml:space="preserve">反弹走强（权重偏低，约两成）</w:t>
      </w:r>
      <w:r>
        <w:rPr>
          <w:sz w:val="22"/>
          <w:szCs w:val="22"/>
        </w:rPr>
        <w:t xml:space="preserve">：若放量收复22.30元，且10月9日交易议案审议顺利，关注22.30~24.96元区间。按历史波动率测算，一周后收盘落在该区间的概率约20%。</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截至2026-09-30，近10个交易日日成交额约5.92亿~15.74亿元、换手率约11.82%~34.1%；最新成交额5.87亿元、换手率12.5%。截至2026-06-30，前十大流通股东合计持有流通股20.76%，均为个人，前十大中未见公募基金、社保或QFII；该股东结构披露有滞后，之后可能变化。近期换手较高、交易活跃，但股价波动时成交深度仍可能变化，实际下单需关注滑点。</w:t>
      </w:r>
    </w:p>
    <w:p>
      <w:pPr>
        <w:spacing w:after="160" w:line="300"/>
      </w:pPr>
      <w:r>
        <w:rPr>
          <w:sz w:val="22"/>
          <w:szCs w:val="22"/>
        </w:rPr>
        <w:t xml:space="preserve">若单日成交额超过近10日区间上沿15.74亿元，并伴随收复22.30元，可作为放量确认信号。</w:t>
      </w:r>
    </w:p>
    <w:p>
      <w:pPr>
        <w:spacing w:after="200"/>
      </w:pPr>
      <w:r>
        <w:rPr>
          <w:i/>
          <w:iCs/>
          <w:color w:val="595959"/>
          <w:sz w:val="18"/>
          <w:szCs w:val="18"/>
        </w:rPr>
        <w:t xml:space="preserve">以上情景推演基于2026年9月30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公司公告_瑞丰高材：2025年年度报告新浪财经_新浪网 — https://vip.stock.finance.sina.com.cn/corp/view/vCB_AllBulletinDetail.php?id=12087866</w:t>
      </w:r>
    </w:p>
    <w:p>
      <w:pPr>
        <w:spacing w:after="200"/>
      </w:pPr>
      <w:r>
        <w:rPr>
          <w:i/>
          <w:iCs/>
          <w:color w:val="595959"/>
          <w:sz w:val="18"/>
          <w:szCs w:val="18"/>
        </w:rPr>
        <w:t xml:space="preserve">公司公告_日科化学：2025年年度报告新浪财经_新浪网 — https://vip.stock.finance.sina.com.cn/corp/view/vCB_AllBulletinDetail.php?id=12205871</w:t>
      </w:r>
    </w:p>
    <w:p>
      <w:pPr>
        <w:spacing w:after="200"/>
      </w:pPr>
      <w:r>
        <w:rPr>
          <w:i/>
          <w:iCs/>
          <w:color w:val="595959"/>
          <w:sz w:val="18"/>
          <w:szCs w:val="18"/>
        </w:rPr>
        <w:t xml:space="preserve">佳先股份(920489)_公司公告_佳先股份：2025年年度报告新浪财经_新浪网 — https://vip.stock.finance.sina.com.cn/corp/view/vCB_AllBulletinDetail.php?id=12266752&amp;stockid=920489</w:t>
      </w:r>
    </w:p>
    <w:p>
      <w:pPr>
        <w:spacing w:after="200"/>
      </w:pPr>
      <w:r>
        <w:rPr>
          <w:i/>
          <w:iCs/>
          <w:color w:val="595959"/>
          <w:sz w:val="18"/>
          <w:szCs w:val="18"/>
        </w:rPr>
        <w:t xml:space="preserve">公司公告_兴业股份：2025年年度报告新浪财经_新浪网 — https://vip.stock.finance.sina.com.cn/corp/view/vCB_AllBulletinDetail.php?id=12099102</w:t>
      </w:r>
    </w:p>
    <w:p>
      <w:pPr>
        <w:spacing w:after="200"/>
      </w:pPr>
      <w:r>
        <w:rPr>
          <w:i/>
          <w:iCs/>
          <w:color w:val="595959"/>
          <w:sz w:val="18"/>
          <w:szCs w:val="18"/>
        </w:rPr>
        <w:t xml:space="preserve">瑞丰高材财报分析_2025年财务数据与基本面解读 | 财报帮股票投资指南 — https://caibaobang.cn/sanpk/mh-company?code=300243&amp;tag=ACCPAYTDAYS</w:t>
      </w:r>
    </w:p>
    <w:p>
      <w:pPr>
        <w:spacing w:after="200"/>
      </w:pPr>
      <w:r>
        <w:rPr>
          <w:i/>
          <w:iCs/>
          <w:color w:val="595959"/>
          <w:sz w:val="18"/>
          <w:szCs w:val="18"/>
        </w:rPr>
        <w:t xml:space="preserve">瑞丰高材(300243) - 基本面研究报告 - 爱股网 — https://www.iguuu.com/stock/300243/report</w:t>
      </w:r>
    </w:p>
    <w:p>
      <w:pPr>
        <w:spacing w:after="200"/>
      </w:pPr>
      <w:r>
        <w:rPr>
          <w:i/>
          <w:iCs/>
          <w:color w:val="595959"/>
          <w:sz w:val="18"/>
          <w:szCs w:val="18"/>
        </w:rPr>
        <w:t xml:space="preserve">2026年半年度报告 — https://static.cninfo.com.cn/finalpage/2026-07-28/1225443335.PDF</w:t>
      </w:r>
    </w:p>
    <w:p>
      <w:pPr>
        <w:spacing w:after="200"/>
      </w:pPr>
      <w:r>
        <w:rPr>
          <w:i/>
          <w:iCs/>
          <w:color w:val="595959"/>
          <w:sz w:val="18"/>
          <w:szCs w:val="18"/>
        </w:rPr>
        <w:t xml:space="preserve">2025年年度报告 — https://static.cninfo.com.cn/finalpage/2026-04-15/1225101315.PDF</w:t>
      </w:r>
    </w:p>
    <w:p>
      <w:pPr>
        <w:spacing w:after="200"/>
      </w:pPr>
      <w:r>
        <w:rPr>
          <w:i/>
          <w:iCs/>
          <w:color w:val="595959"/>
          <w:sz w:val="18"/>
          <w:szCs w:val="18"/>
        </w:rPr>
        <w:t xml:space="preserve">2024年年度报告 — https://static.cninfo.com.cn/finalpage/2025-04-22/1223193660.PDF</w:t>
      </w:r>
    </w:p>
    <w:p>
      <w:pPr>
        <w:spacing w:after="200"/>
      </w:pPr>
      <w:r>
        <w:rPr>
          <w:i/>
          <w:iCs/>
          <w:color w:val="595959"/>
          <w:sz w:val="18"/>
          <w:szCs w:val="18"/>
        </w:rPr>
        <w:t xml:space="preserve">2023年年度报告 — https://static.cninfo.com.cn/finalpage/2024-04-20/1219697737.PDF</w:t>
      </w:r>
    </w:p>
    <w:p>
      <w:pPr>
        <w:spacing w:after="200"/>
      </w:pPr>
      <w:r>
        <w:rPr>
          <w:i/>
          <w:iCs/>
          <w:color w:val="595959"/>
          <w:sz w:val="18"/>
          <w:szCs w:val="18"/>
        </w:rPr>
        <w:t xml:space="preserve">腾讯财经行情（2026-09-30） — https://gu.qq.com/sz300243</w:t>
      </w:r>
    </w:p>
    <w:p>
      <w:pPr>
        <w:spacing w:after="200"/>
      </w:pPr>
      <w:r>
        <w:rPr>
          <w:i/>
          <w:iCs/>
          <w:color w:val="595959"/>
          <w:sz w:val="18"/>
          <w:szCs w:val="18"/>
        </w:rPr>
        <w:t xml:space="preserve">东方财富F10 合并资产负债表（2026中报） — https://emweb.securities.eastmoney.com/pc_hsf10/pages/index.html?type=web&amp;code=SZ300243#/cwfx</w:t>
      </w:r>
    </w:p>
    <w:p>
      <w:pPr>
        <w:spacing w:after="200"/>
      </w:pPr>
      <w:r>
        <w:rPr>
          <w:i/>
          <w:iCs/>
          <w:color w:val="595959"/>
          <w:sz w:val="18"/>
          <w:szCs w:val="18"/>
        </w:rPr>
        <w:t xml:space="preserve">东方财富 F10 盈利预测 — https://emweb.securities.eastmoney.com/pc_hsf10/pages/index.html?type=web&amp;code=SZ300243#/ylyc</w:t>
      </w:r>
    </w:p>
    <w:p>
      <w:pPr>
        <w:spacing w:after="200"/>
      </w:pPr>
      <w:r>
        <w:rPr>
          <w:i/>
          <w:iCs/>
          <w:color w:val="595959"/>
          <w:sz w:val="18"/>
          <w:szCs w:val="18"/>
        </w:rPr>
        <w:t xml:space="preserve">瑞丰高材:2026年半年度报告 — https://pdf.dfcfw.com/pdf/H2_AN202607271827388878_1.pdf</w:t>
      </w:r>
    </w:p>
    <w:p>
      <w:pPr>
        <w:spacing w:after="200"/>
      </w:pPr>
      <w:r>
        <w:rPr>
          <w:i/>
          <w:iCs/>
          <w:color w:val="595959"/>
          <w:sz w:val="18"/>
          <w:szCs w:val="18"/>
        </w:rPr>
        <w:t xml:space="preserve">瑞丰高材(300243) 公司大事_F10_同花顺金融服务网 — https://basic.10jqka.com.cn/300243/event.html</w:t>
      </w:r>
    </w:p>
    <w:p>
      <w:pPr>
        <w:spacing w:after="200"/>
      </w:pPr>
      <w:r>
        <w:rPr>
          <w:i/>
          <w:iCs/>
          <w:color w:val="595959"/>
          <w:sz w:val="18"/>
          <w:szCs w:val="18"/>
        </w:rPr>
        <w:t xml:space="preserve">瑞丰高材(300243) 分红融资_F10_同花顺金融服务网 — https://basic.10jqka.com.cn/300243/bonus.html</w:t>
      </w:r>
    </w:p>
    <w:p>
      <w:pPr>
        <w:spacing w:after="200"/>
      </w:pPr>
      <w:r>
        <w:rPr>
          <w:i/>
          <w:iCs/>
          <w:color w:val="595959"/>
          <w:sz w:val="18"/>
          <w:szCs w:val="18"/>
        </w:rPr>
        <w:t xml:space="preserve">static.cninfo.com.cn（公告PDF） — https://static.cninfo.com.cn/finalpage/2026-08-18/1225478320.PDF</w:t>
      </w:r>
    </w:p>
    <w:p>
      <w:pPr>
        <w:spacing w:after="200"/>
      </w:pPr>
      <w:r>
        <w:rPr>
          <w:i/>
          <w:iCs/>
          <w:color w:val="595959"/>
          <w:sz w:val="18"/>
          <w:szCs w:val="18"/>
        </w:rPr>
        <w:t xml:space="preserve">瑞丰高材(300243)_公司公告_瑞丰高材：关于通过股权转让及现金增资方式取得安徽觅拓新材料技术有限公司68.065%股权暨签署《股权转让协议》及《增资合作协议》的对外投资公告新浪财经_新浪网 — https://vip.stock.finance.sina.com.cn/corp/view/vCB_AllBulletinDetail.php?id=12607468&amp;stockid=300243</w:t>
      </w:r>
    </w:p>
    <w:p>
      <w:pPr>
        <w:spacing w:after="200"/>
      </w:pPr>
      <w:r>
        <w:rPr>
          <w:i/>
          <w:iCs/>
          <w:color w:val="595959"/>
          <w:sz w:val="18"/>
          <w:szCs w:val="18"/>
        </w:rPr>
        <w:t xml:space="preserve">static.cninfo.com.cn（公告PDF） — https://static.cninfo.com.cn/finalpage/2026-09-17/1225568166.PDF</w:t>
      </w:r>
    </w:p>
    <w:p>
      <w:pPr>
        <w:spacing w:after="200"/>
      </w:pPr>
      <w:r>
        <w:rPr>
          <w:i/>
          <w:iCs/>
          <w:color w:val="595959"/>
          <w:sz w:val="18"/>
          <w:szCs w:val="18"/>
        </w:rPr>
        <w:t xml:space="preserve">瑞丰高材(300243)_公司公告_瑞丰高材：关于向银行申请并购贷款的公告新浪财经_新浪网 — https://vip.stock.finance.sina.com.cn/corp/view/vCB_AllBulletinDetail.php?id=12607464&amp;stockid=300243</w:t>
      </w:r>
    </w:p>
    <w:p>
      <w:pPr>
        <w:spacing w:after="200"/>
      </w:pPr>
      <w:r>
        <w:rPr>
          <w:i/>
          <w:iCs/>
          <w:color w:val="595959"/>
          <w:sz w:val="18"/>
          <w:szCs w:val="18"/>
        </w:rPr>
        <w:t xml:space="preserve">瑞丰高材(300243)_公司公告_瑞丰高材：关于股票交易异常波动的公告新浪财经_新浪网 — https://money.finance.sina.com.cn/corp/view/vCB_AllBulletinDetail.php?id=12502781&amp;stockid=300243</w:t>
      </w:r>
    </w:p>
    <w:p>
      <w:pPr>
        <w:spacing w:after="200"/>
      </w:pPr>
      <w:r>
        <w:rPr>
          <w:i/>
          <w:iCs/>
          <w:color w:val="595959"/>
          <w:sz w:val="18"/>
          <w:szCs w:val="18"/>
        </w:rPr>
        <w:t xml:space="preserve">瑞丰高材(300243)_公司公告_瑞丰高材：关于召开2026年第二次临时股东会的通知新浪财经_新浪网 — https://money.finance.sina.com.cn/corp/view/vCB_AllBulletinDetail.php?id=12607465&amp;stockid=300243</w:t>
      </w:r>
    </w:p>
    <w:p>
      <w:pPr>
        <w:spacing w:after="200"/>
      </w:pPr>
      <w:r>
        <w:rPr>
          <w:i/>
          <w:iCs/>
          <w:color w:val="595959"/>
          <w:sz w:val="18"/>
          <w:szCs w:val="18"/>
        </w:rPr>
        <w:t xml:space="preserve">东方财富 个股资金流向 — https://data.eastmoney.com/zjlx/300243.html</w:t>
      </w:r>
    </w:p>
    <w:p>
      <w:pPr>
        <w:spacing w:after="200"/>
      </w:pPr>
      <w:r>
        <w:rPr>
          <w:i/>
          <w:iCs/>
          <w:color w:val="595959"/>
          <w:sz w:val="18"/>
          <w:szCs w:val="18"/>
        </w:rPr>
        <w:t xml:space="preserve">东方财富 股东研究 — https://emweb.securities.eastmoney.com/pc_hsf10/pages/index.html?type=web&amp;code=SZ300243#/gdyj</w:t>
      </w:r>
    </w:p>
    <w:p>
      <w:pPr>
        <w:spacing w:after="200"/>
      </w:pPr>
      <w:r>
        <w:rPr>
          <w:i/>
          <w:iCs/>
          <w:color w:val="595959"/>
          <w:sz w:val="18"/>
          <w:szCs w:val="18"/>
        </w:rPr>
        <w:t xml:space="preserve">本报告由AI基于公开渠道信息自动检索、整理并生成，信息截至 2026-09-30收盘，可能存在时效性差异，具体数据请以公司正式公告及权威数据终端为准。本报告仅为信息整理与研究参考，不构成任何投资建议，投资者应独立判断并自行承担投资风险。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2026-10-07T06:20:14.869Z</dcterms:created>
  <dcterms:modified xsi:type="dcterms:W3CDTF">2026-10-07T06:20:14.870Z</dcterms:modified>
</cp:coreProperties>
</file>

<file path=docProps/custom.xml><?xml version="1.0" encoding="utf-8"?>
<Properties xmlns="http://schemas.openxmlformats.org/officeDocument/2006/custom-properties" xmlns:vt="http://schemas.openxmlformats.org/officeDocument/2006/docPropsVTypes"/>
</file>