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阳光电源股份有限公司 (300274)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行业：光伏逆变器、储能系统与新能源电力电子设备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截至2026年9月11日收盘；9月12日、13日为周末休市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阳光电源2026年上半年经营承压：实现营业收入309.12亿元，同比下降28.99%；归母净利润52.59亿元，同比下降32.01%；扣非归母净利润42.75亿元，同比下降42.96%。其中，储能系统收入154.56亿元，同比下降13.18%，毛利率降至32.43%；光伏逆变器等电力电子转换设备收入123.88亿元，同比下降19.17%；新能源投资开发收入约12.58亿元，同比下降约85%。尽管经营活动现金流净额同比增长8.75%至37.35亿元，第二季度净利润环比增长29.50%、毛利率环比提升至约38.62%，但当前核心经营盈利仍明显弱于2025年。</w:t>
      </w:r>
    </w:p>
    <w:p>
      <w:pPr>
        <w:spacing w:after="160" w:line="300"/>
      </w:pPr>
      <w:r>
        <w:rPr>
          <w:sz w:val="22"/>
          <w:szCs w:val="22"/>
        </w:rPr>
        <w:t xml:space="preserve">公司2025年收入891.84亿元、归母净利润134.61亿元，储能系统和光伏逆变器等电力电子转换设备合计占收入约76.72%；海外收入539.92亿元，占比升至60.54%，储能收入占比也由2024年的32.06%提升至41.81%。公司竞争力主要来自PCS、电力电子技术、构网与并网控制、全球渠道、品牌及项目交付能力，而非上游电芯或芯片资源控制；储能电芯较大程度依赖外部供应商，业务盈利仍受价格竞争和关键原材料议价影响。</w:t>
      </w:r>
    </w:p>
    <w:p>
      <w:pPr>
        <w:spacing w:after="160" w:line="300"/>
      </w:pPr>
      <w:r>
        <w:rPr>
          <w:sz w:val="22"/>
          <w:szCs w:val="22"/>
        </w:rPr>
        <w:t xml:space="preserve">增长逻辑仍集中于储能系统、海外逆变器以及后续AIDC电源业务。2026年上半年储能发货量约25GWh，同比增长28%，但收入下降且毛利率同比下降7.49个百分点，显示出货增长尚未完全转化为收入和利润增长。机构预测对2026—2028年盈利分歧较大，主流汇总预测归母净利润约为143.21亿元、181.15亿元和216.55亿元，但上述预测并非公司业绩指引。</w:t>
      </w:r>
    </w:p>
    <w:p>
      <w:pPr>
        <w:spacing w:after="160" w:line="300"/>
      </w:pPr>
      <w:r>
        <w:rPr>
          <w:sz w:val="22"/>
          <w:szCs w:val="22"/>
        </w:rPr>
        <w:t xml:space="preserve">截至2026年9月11日，公司股价84.40元，处于近52周低位；MA5、MA10、MA20呈空头排列，MACD仍处于弱势区间，最近10个交易日主力资金合计净流出约37.05亿元。RSI6为16.2，反映短线超卖，但尚未形成明确的放量止跌和趋势反转信号。公司已披露5亿至10亿元股份回购方案，截至8月31日累计回购304.76万股、支付资金约3.25亿元，回购目的为未来实施员工持股计划或股权激励计划。</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300274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阳光电源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安徽省合肥市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成立与上市</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公司成立于1997年，2011年在深交所创业板上市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清洁能源电源设备和新能源系统解决方案企业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891.84亿元，同比增长14.55%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134.61亿元，同比增长21.97%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2025年综合毛利率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2025年海外收入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539.92亿元，占营业收入60.54%；2024年占比为46.62%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电力电子技术、产品研发能力、全球渠道、制造能力和项目开发资源；公司不是资源型企业，不存在矿产、油气等资源储备概念</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光伏逆变器及其他电力电子转换设备</w:t>
      </w:r>
    </w:p>
    <w:p>
      <w:pPr>
        <w:pStyle w:val="ListParagraph"/>
        <w:numPr>
          <w:ilvl w:val="0"/>
          <w:numId w:val="2"/>
        </w:numPr>
        <w:spacing w:after="80" w:line="280"/>
      </w:pPr>
      <w:r>
        <w:rPr>
          <w:sz w:val="22"/>
          <w:szCs w:val="22"/>
        </w:rPr>
        <w:t xml:space="preserve">储能系统，包括储能变流器、储能电池系统、系统集成和相关解决方案</w:t>
      </w:r>
    </w:p>
    <w:p>
      <w:pPr>
        <w:pStyle w:val="ListParagraph"/>
        <w:numPr>
          <w:ilvl w:val="0"/>
          <w:numId w:val="2"/>
        </w:numPr>
        <w:spacing w:after="80" w:line="280"/>
      </w:pPr>
      <w:r>
        <w:rPr>
          <w:sz w:val="22"/>
          <w:szCs w:val="22"/>
        </w:rPr>
        <w:t xml:space="preserve">新能源投资开发，主要通过阳光新能源开展光伏、风电等电站开发、建设、转让和运营</w:t>
      </w:r>
    </w:p>
    <w:p>
      <w:pPr>
        <w:pStyle w:val="ListParagraph"/>
        <w:numPr>
          <w:ilvl w:val="0"/>
          <w:numId w:val="2"/>
        </w:numPr>
        <w:spacing w:after="80" w:line="280"/>
      </w:pPr>
      <w:r>
        <w:rPr>
          <w:sz w:val="22"/>
          <w:szCs w:val="22"/>
        </w:rPr>
        <w:t xml:space="preserve">风电变流及传动产品</w:t>
      </w:r>
    </w:p>
    <w:p>
      <w:pPr>
        <w:pStyle w:val="ListParagraph"/>
        <w:numPr>
          <w:ilvl w:val="0"/>
          <w:numId w:val="2"/>
        </w:numPr>
        <w:spacing w:after="80" w:line="280"/>
      </w:pPr>
      <w:r>
        <w:rPr>
          <w:sz w:val="22"/>
          <w:szCs w:val="22"/>
        </w:rPr>
        <w:t xml:space="preserve">新能源汽车电控及电源系统</w:t>
      </w:r>
    </w:p>
    <w:p>
      <w:pPr>
        <w:pStyle w:val="ListParagraph"/>
        <w:numPr>
          <w:ilvl w:val="0"/>
          <w:numId w:val="2"/>
        </w:numPr>
        <w:spacing w:after="80" w:line="280"/>
      </w:pPr>
      <w:r>
        <w:rPr>
          <w:sz w:val="22"/>
          <w:szCs w:val="22"/>
        </w:rPr>
        <w:t xml:space="preserve">充电设备</w:t>
      </w:r>
    </w:p>
    <w:p>
      <w:pPr>
        <w:pStyle w:val="ListParagraph"/>
        <w:numPr>
          <w:ilvl w:val="0"/>
          <w:numId w:val="2"/>
        </w:numPr>
        <w:spacing w:after="80" w:line="280"/>
      </w:pPr>
      <w:r>
        <w:rPr>
          <w:sz w:val="22"/>
          <w:szCs w:val="22"/>
        </w:rPr>
        <w:t xml:space="preserve">氢能装备</w:t>
      </w:r>
    </w:p>
    <w:p>
      <w:pPr>
        <w:pStyle w:val="ListParagraph"/>
        <w:numPr>
          <w:ilvl w:val="0"/>
          <w:numId w:val="2"/>
        </w:numPr>
        <w:spacing w:after="80" w:line="280"/>
      </w:pPr>
      <w:r>
        <w:rPr>
          <w:sz w:val="22"/>
          <w:szCs w:val="22"/>
        </w:rPr>
        <w:t xml:space="preserve">智慧能源运维</w:t>
      </w:r>
    </w:p>
    <w:p>
      <w:pPr>
        <w:pStyle w:val="ListParagraph"/>
        <w:numPr>
          <w:ilvl w:val="0"/>
          <w:numId w:val="2"/>
        </w:numPr>
        <w:spacing w:after="80" w:line="280"/>
      </w:pPr>
      <w:r>
        <w:rPr>
          <w:sz w:val="22"/>
          <w:szCs w:val="22"/>
        </w:rPr>
        <w:t xml:space="preserve">AIDC电源业务，2025年年报新增披露，主要提供固态变压器SST及电源解决方案</w:t>
      </w:r>
    </w:p>
    <w:p>
      <w:pPr>
        <w:pStyle w:val="ListParagraph"/>
        <w:numPr>
          <w:ilvl w:val="0"/>
          <w:numId w:val="2"/>
        </w:numPr>
        <w:spacing w:after="80" w:line="280"/>
      </w:pPr>
      <w:r>
        <w:rPr>
          <w:sz w:val="22"/>
          <w:szCs w:val="22"/>
        </w:rPr>
        <w:t xml:space="preserve">2025年收入结构：储能系统收入372.87亿元，占41.81%；光伏逆变器等电力电子转换设备收入311.36亿元，占34.91%；新能源投资开发收入165.59亿元，占18.57%；光伏电站发电收入13.10亿元，占1.47%；其他业务收入约28.93亿元，占3.24%</w:t>
      </w:r>
    </w:p>
    <w:p>
      <w:pPr>
        <w:pStyle w:val="ListParagraph"/>
        <w:numPr>
          <w:ilvl w:val="0"/>
          <w:numId w:val="2"/>
        </w:numPr>
        <w:spacing w:after="80" w:line="280"/>
      </w:pPr>
      <w:r>
        <w:rPr>
          <w:sz w:val="22"/>
          <w:szCs w:val="22"/>
        </w:rPr>
        <w:t xml:space="preserve">2025年行业口径：光伏行业收入445.50亿元，占49.95%；储能行业收入372.87亿元，占41.81%；其他收入73.48亿元，占8.24%。储能收入占比由2024年的32.06%提升至2025年的41.81%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阳光电源位于新能源产业链中游偏系统集成和电力电子设备环节，业务横跨光伏逆变器、储能系统和新能源电站开发。公司不是上游资源垄断者，主要依靠电力电子技术、系统集成、品牌与全球交付能力获取产业链价值。</w:t>
      </w:r>
    </w:p>
    <w:p>
      <w:pPr>
        <w:pStyle w:val="ListParagraph"/>
        <w:numPr>
          <w:ilvl w:val="0"/>
          <w:numId w:val="2"/>
        </w:numPr>
        <w:spacing w:after="80" w:line="280"/>
      </w:pPr>
      <w:r>
        <w:rPr>
          <w:sz w:val="22"/>
          <w:szCs w:val="22"/>
        </w:rPr>
        <w:t xml:space="preserve">光伏逆变器和风电变流器主要投入包括功率半导体器件、IGBT及其他功率模块、磁性器件、PCB、电容、电阻、结构件、散热器件、线缆和控制器件等。</w:t>
      </w:r>
    </w:p>
    <w:p>
      <w:pPr>
        <w:pStyle w:val="ListParagraph"/>
        <w:numPr>
          <w:ilvl w:val="0"/>
          <w:numId w:val="2"/>
        </w:numPr>
        <w:spacing w:after="80" w:line="280"/>
      </w:pPr>
      <w:r>
        <w:rPr>
          <w:sz w:val="22"/>
          <w:szCs w:val="22"/>
        </w:rPr>
        <w:t xml:space="preserve">储能系统核心投入包括锂电池电芯、PCS、BMS、EMS、集装箱或机柜、热管理、消防和辅助电气设备；PowerTitan 2.0采用314Ah电芯，体现电芯是关键外部采购环节。</w:t>
      </w:r>
    </w:p>
    <w:p>
      <w:pPr>
        <w:pStyle w:val="ListParagraph"/>
        <w:numPr>
          <w:ilvl w:val="0"/>
          <w:numId w:val="2"/>
        </w:numPr>
        <w:spacing w:after="80" w:line="280"/>
      </w:pPr>
      <w:r>
        <w:rPr>
          <w:sz w:val="22"/>
          <w:szCs w:val="22"/>
        </w:rPr>
        <w:t xml:space="preserve">2025年主要供应商中出现欣旺达电子和瑞浦兰钧，2024年主要供应商中出现中创新航，侧面说明储能电芯较大程度依赖外部电池供应商。</w:t>
      </w:r>
    </w:p>
    <w:p>
      <w:pPr>
        <w:pStyle w:val="ListParagraph"/>
        <w:numPr>
          <w:ilvl w:val="0"/>
          <w:numId w:val="2"/>
        </w:numPr>
        <w:spacing w:after="80" w:line="280"/>
      </w:pPr>
      <w:r>
        <w:rPr>
          <w:sz w:val="22"/>
          <w:szCs w:val="22"/>
        </w:rPr>
        <w:t xml:space="preserve">截至2025年12月31日，前五大供应商采购金额119.24亿元，占年度采购总额25.12%；最大供应商占采购总额14.59%。</w:t>
      </w:r>
    </w:p>
    <w:p>
      <w:pPr>
        <w:pStyle w:val="ListParagraph"/>
        <w:numPr>
          <w:ilvl w:val="0"/>
          <w:numId w:val="2"/>
        </w:numPr>
        <w:spacing w:after="80" w:line="280"/>
      </w:pPr>
      <w:r>
        <w:rPr>
          <w:sz w:val="22"/>
          <w:szCs w:val="22"/>
        </w:rPr>
        <w:t xml:space="preserve">年报将光伏和储能业务大量成本统一归类为“原材料”，未完整披露IGBT、电芯、PCS、结构件等具体成本占比，因此无法精确计算单项材料对毛利率的贡献。</w:t>
      </w:r>
    </w:p>
    <w:p>
      <w:pPr>
        <w:pStyle w:val="ListParagraph"/>
        <w:numPr>
          <w:ilvl w:val="0"/>
          <w:numId w:val="2"/>
        </w:numPr>
        <w:spacing w:after="80" w:line="280"/>
      </w:pPr>
      <w:r>
        <w:rPr>
          <w:sz w:val="22"/>
          <w:szCs w:val="22"/>
        </w:rPr>
        <w:t xml:space="preserve">公司具备采购规模、供应链组织、产品认证、系统集成和全球交付优势，但对芯片、电芯及关键电气元件的议价能力并非绝对强势；对于锂电池电芯等标准化产品，较大程度上仍是价格接受者。</w:t>
      </w:r>
    </w:p>
    <w:p>
      <w:pPr>
        <w:pStyle w:val="ListParagraph"/>
        <w:numPr>
          <w:ilvl w:val="0"/>
          <w:numId w:val="2"/>
        </w:numPr>
        <w:spacing w:after="80" w:line="280"/>
      </w:pPr>
      <w:r>
        <w:rPr>
          <w:sz w:val="22"/>
          <w:szCs w:val="22"/>
        </w:rPr>
        <w:t xml:space="preserve">下游客户包括大型电力集团和能源央企、光伏风电及储能项目开发商、EPC工程总包商、海外能源公司和电力基础设施投资者、工商业客户、家庭能源客户及新能源车企。</w:t>
      </w:r>
    </w:p>
    <w:p>
      <w:pPr>
        <w:pStyle w:val="ListParagraph"/>
        <w:numPr>
          <w:ilvl w:val="0"/>
          <w:numId w:val="2"/>
        </w:numPr>
        <w:spacing w:after="80" w:line="280"/>
      </w:pPr>
      <w:r>
        <w:rPr>
          <w:sz w:val="22"/>
          <w:szCs w:val="22"/>
        </w:rPr>
        <w:t xml:space="preserve">2025年前五大客户销售额151.23亿元，占年度销售总额16.96%；该数据为2025年度年报披露，2024年为19.79%。2025年第一大客户Algihaz Contracting Company占4.50%，中国能源建设集团占3.51%，中建投租赁占3.40%，湖北联投占2.89%，Larsen &amp; Toubro占2.66%。</w:t>
      </w:r>
    </w:p>
    <w:p>
      <w:pPr>
        <w:pStyle w:val="ListParagraph"/>
        <w:numPr>
          <w:ilvl w:val="0"/>
          <w:numId w:val="2"/>
        </w:numPr>
        <w:spacing w:after="80" w:line="280"/>
      </w:pPr>
      <w:r>
        <w:rPr>
          <w:sz w:val="22"/>
          <w:szCs w:val="22"/>
        </w:rPr>
        <w:t xml:space="preserve">客户集中度整体低于供应商集中度，但大型储能项目金额较大，单个海外项目仍可能影响季度收入确认；部分客户名称以客户一、客户二、客户三等形式披露，无法完整判断全部客户的最终项目类型和地区。</w:t>
      </w:r>
    </w:p>
    <w:p>
      <w:pPr>
        <w:pStyle w:val="ListParagraph"/>
        <w:numPr>
          <w:ilvl w:val="0"/>
          <w:numId w:val="2"/>
        </w:numPr>
        <w:spacing w:after="80" w:line="280"/>
      </w:pPr>
      <w:r>
        <w:rPr>
          <w:sz w:val="22"/>
          <w:szCs w:val="22"/>
        </w:rPr>
        <w:t xml:space="preserve">光伏逆变器和储能设备面向大型电站、EPC及海外项目时，客户通常通过招标比价，价格、交付、质保、并网性能和融资可接受性共同影响订单。</w:t>
      </w:r>
    </w:p>
    <w:p>
      <w:pPr>
        <w:pStyle w:val="ListParagraph"/>
        <w:numPr>
          <w:ilvl w:val="0"/>
          <w:numId w:val="2"/>
        </w:numPr>
        <w:spacing w:after="80" w:line="280"/>
      </w:pPr>
      <w:r>
        <w:rPr>
          <w:sz w:val="22"/>
          <w:szCs w:val="22"/>
        </w:rPr>
        <w:t xml:space="preserve">全球品牌、银行可融资性、项目经验和售后服务可以形成一定溢价，但逆变器标准化程度提高、国内竞争激烈、储能系统供应商增多，客户议价能力仍然较强。</w:t>
      </w:r>
    </w:p>
    <w:p>
      <w:pPr>
        <w:pStyle w:val="ListParagraph"/>
        <w:numPr>
          <w:ilvl w:val="0"/>
          <w:numId w:val="2"/>
        </w:numPr>
        <w:spacing w:after="80" w:line="280"/>
      </w:pPr>
      <w:r>
        <w:rPr>
          <w:sz w:val="22"/>
          <w:szCs w:val="22"/>
        </w:rPr>
        <w:t xml:space="preserve">新能源投资开发业务的下游客户主要是央国企、地方能源集团和产业资本，项目开发收入受电站转让节奏、融资条件和项目收益率影响。</w:t>
      </w:r>
    </w:p>
    <w:p>
      <w:pPr>
        <w:pStyle w:val="ListParagraph"/>
        <w:numPr>
          <w:ilvl w:val="0"/>
          <w:numId w:val="2"/>
        </w:numPr>
        <w:spacing w:after="80" w:line="280"/>
      </w:pPr>
      <w:r>
        <w:rPr>
          <w:sz w:val="22"/>
          <w:szCs w:val="22"/>
        </w:rPr>
        <w:t xml:space="preserve">截至2024年12月31日，应收账款账面余额约305.23亿元，其中一年以内应收账款254.76亿元；应收账款周转率约3.19次，对应周转天数约113天，应收账款约占2024年营业收入39%。该应收账款周转数据来自公开财务数据整理，正式报告应优先以公司年报原始财务报表和审计口径复核。2025年经营活动现金流净额169.18亿元，同比增长40.18%，年报解释主要与回款效率提升有关，显示现金回款有所改善；但项目型业务的应收、合同资产及海外客户回款仍构成营运资金风险。</w:t>
      </w:r>
    </w:p>
    <w:p>
      <w:pPr>
        <w:pStyle w:val="ListParagraph"/>
        <w:numPr>
          <w:ilvl w:val="0"/>
          <w:numId w:val="2"/>
        </w:numPr>
        <w:spacing w:after="80" w:line="280"/>
      </w:pPr>
      <w:r>
        <w:rPr>
          <w:sz w:val="22"/>
          <w:szCs w:val="22"/>
        </w:rPr>
        <w:t xml:space="preserve">截至2025年12月31日，前五大供应商占年度采购总额25.12%，前五大客户占年度销售总额16.96%，供应商集中度高于客户集中度。客户集中度数据为2025年年报披露，2024年客户前五大占比为19.79%；供应商及客户明细受年报披露口径影响，部分客户名称未完整披露，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约7.06%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原材料、芯片和物流成本上升，光伏逆变器行业竞争加剧，储能业务仍处于规模化早期，成本压力较大。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约24.55%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约9.18%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光伏和储能需求增长，产品价格及海外业务改善，规模效应开始释放；供应链波动和原材料价格仍限制利润率提升。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约30.36%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储能系统和海外高毛利逆变器业务快速增长，规模效应、品牌溢价和产品结构改善推动盈利能力提升。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约14.47%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储能系统收入增长40.21%，毛利率为36.69%，支撑整体盈利；光伏逆变器毛利率降至30.90%，行业价格竞争使综合毛利率较2023年略有回落。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31.83%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约15.17%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储能收入同比增长49.39%，海外收入占比升至60.54%；光伏逆变器毛利率提升至34.66%，受海外收入占比提升、新品和品牌溢价影响，但新能源投资开发毛利率降至14.50%，形成部分拖累。</w:t>
            </w:r>
          </w:p>
        </w:tc>
      </w:tr>
    </w:tbl>
    <w:p>
      <w:pPr>
        <w:spacing w:before="200"/>
      </w:pPr>
    </w:p>
    <w:p>
      <w:pPr>
        <w:spacing w:after="160" w:line="300"/>
      </w:pPr>
      <w:r>
        <w:rPr>
          <w:sz w:val="22"/>
          <w:szCs w:val="22"/>
        </w:rPr>
        <w:t xml:space="preserve">公司处于新能源产业链中游偏电力电子设备和系统集成位置，盈利能力高于单纯低端制造，但不具备上游电芯、芯片等资源控制权。未来毛利率改善主要取决于储能和海外高价值逆变器占比提升、产品结构升级、品牌溢价、规模制造和成本控制，以及储能安全与构网技术、本地化产能和AIDC等新场景能否形成持续增量；2025年AIDC电源和固态变压器仍处于布局拓展阶段，不宜视为已形成与逆变器、储能同等规模的成熟主业。</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309.12亿元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同比下降28.99%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归母净利润52.59亿元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同比下降32.01%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153.52亿元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同比下降37.33%，环比下降1.34%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归母净利润29.67亿元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同比下降24.08%，环比增长29.50%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891.84亿元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同比增长14.55%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归母净利润134.61亿元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同比增长21.97%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778.57亿元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归母净利润110.36亿元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r>
    </w:tbl>
    <w:p>
      <w:pPr>
        <w:spacing w:after="200"/>
      </w:pPr>
      <w:r>
        <w:rPr>
          <w:i/>
          <w:iCs/>
          <w:color w:val="595959"/>
          <w:sz w:val="18"/>
          <w:szCs w:val="18"/>
        </w:rPr>
        <w:t xml:space="preserve">数据截至2026年9月12日，最新财报为2026年半年度报告。2026年上半年扣除非经常性损益后的归母净利润为42.75亿元，同比下降42.96%；基本每股收益2.56元，加权平均净资产收益率10.73%，经营活动产生的现金流量净额37.35亿元，同比增长8.75%。</w:t>
      </w:r>
    </w:p>
    <w:p>
      <w:pPr>
        <w:spacing w:after="160" w:line="300"/>
      </w:pPr>
      <w:r>
        <w:rPr>
          <w:sz w:val="22"/>
          <w:szCs w:val="22"/>
        </w:rPr>
        <w:t xml:space="preserve">2026年上半年收入和利润同比承压，扣非归母净利润降幅大于归母净利润，核心经营盈利压力更明显。上半年综合毛利率为35.92%，同比提升1.56个百分点；净利率约16.69%，同比下降约1.30个百分点。第二季度综合毛利率约38.62%，环比提升5.35个百分点，归母净利润环比增长29.50%，显示产品结构及高毛利海外市场占比有所改善。业务方面，上半年储能系统收入约154.56亿元，同比下降13.18%，发货约25GWh，同比增长28%，毛利率32.43%，同比下降7.49个百分点；光伏逆变器等电力电子转换设备收入约123.88亿元，同比下降19.17%，发货约66GW；新能源投资开发业务收入约12.58亿元，同比下降约85%。财务费用同比增长239.94%，上半年汇兑损失约5.87亿元，对利润形成拖累。</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同花顺F10截至2026年9月上旬的机构盈利预测汇总，约33家机构预测2026年、32家机构预测2027年、31家机构预测2028年，并非公司正式业绩指引。研究纪要披露的归母净利润预测区间为：2026年约123.29亿至170.22亿元，2027年约145.02亿至209.00亿元，2028年约174.69亿至285.00亿元，机构分歧较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约985.05亿元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归母净利润约143.21亿元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约6.4%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约6.91元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约1,185.49亿元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归母净利润约181.15亿元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约8.74元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约1,382.41亿元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归母净利润约216.55亿元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约19.5%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约10.44元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2026年9月6日；目标价信息另披露为2026年8月31日或9月6日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2026—2028年归母净利润预测为163亿元、203亿元、232亿元；EPS为7.87元、9.78元、11.18元；目标价150.20元。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2026—2028年归母净利润预测为131亿元、181亿元、236亿元；认为2027年以后储能及AIDC业务有望带来修复和增长。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2026—2028年归母净利润预测为133.30亿元、180.28亿元、221.08亿元，同比增速约为-1.0%、35.2%、22.6%；未见明确目标价。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2026—2028年营业收入预测为977.44亿元、1,147.09亿元、1,274.77亿元；归母净利润预测为126.97亿元、166.63亿元、189.71亿元；EPS为6.09元、7.99元、9.10元；目标价121.80元。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2026—2028年归母净利润预测为135.72亿元、181.58亿元、239.87亿元；EPS为6.55元、8.76元、11.57元；目标价201.44元。报告发布时间早于2026年半年报。</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2026年4月30日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2026—2028年营业收入预测为935亿元、1,101亿元、1,280亿元；归母净利润预测为144亿元、179亿元、205亿元。预测早于2026年半年报，参考价值相对较低。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伯恩斯坦</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跑赢大盘</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约2026年9月初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目标价151元。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野村东方国际证券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对美国政策、储能竞争和盈利波动的担忧相对更强。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华安、华创、国投证券、平安证券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买入或增持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同花顺近期评级列表显示，华安、华创和国投证券多为买入，平安证券为增持；研究纪要未披露各机构具体日期及目标价。</w:t>
            </w:r>
          </w:p>
        </w:tc>
      </w:tr>
    </w:tbl>
    <w:p>
      <w:pPr>
        <w:spacing w:before="200"/>
      </w:pPr>
    </w:p>
    <w:p>
      <w:pPr>
        <w:spacing w:after="160" w:line="300"/>
      </w:pPr>
      <w:r>
        <w:rPr>
          <w:sz w:val="22"/>
          <w:szCs w:val="22"/>
        </w:rPr>
        <w:t xml:space="preserve">截至2026年9月11日收盘，股价84.40元，总市值约1,749.79亿元。不同数据库披露的估值存在差异：富途数据显示PE-TTM约15.93倍、静态PE约20.73倍、PB约3.49倍；中财网数据显示PE约15.93倍、扣非PE约18.21倍、PB约3.29倍；理杏仁截至2026年9月10日数据显示PE-TTM约16.22倍、PB约3.55倍，PE-TTM历史分位约50%。按同花顺机构汇总EPS计算，2026E、2027E、2028E PE分别约12.2倍、9.7倍和8.1倍；按华泰证券EPS预测分别约10.7倍、8.6倍和7.5倍；按中邮证券EPS预测分别约13.9倍、10.6倍和9.3倍。当前股价对应2026年盈利的估值大致处于12—14倍PE区间，低于部分机构报告采用的约19—20倍2026E PE，但该折价也反映了2026年利润下滑、储能毛利率波动、美国政策风险、汇率波动及收入确认节奏等不确定性。机构目标价从121.80元至201.44元不等，国内机构整体偏积极但盈利预测和目标价分歧较大。后续需重点跟踪储能系统毛利率修复、库存是否转化为收入或形成减值压力、汇兑损失变化，以及2026年下半年储能交付和2027年AIDC业务订单兑现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阳光电源披露5亿至10亿元股份回购方案</w:t>
      </w:r>
    </w:p>
    <w:p>
      <w:pPr>
        <w:spacing w:after="160" w:line="300"/>
      </w:pPr>
      <w:r>
        <w:rPr>
          <w:sz w:val="22"/>
          <w:szCs w:val="22"/>
        </w:rPr>
        <w:t xml:space="preserve">阳光电源于2026年8月2日召开第六届董事会第二次会议审议通过股份回购方案，并于2026年8月3日披露公告。回购目的为未来适宜时机实施员工持股计划或股权激励计划；回购方式为通过深圳证券交易所交易系统集中竞价回购；回购资金总额不低于5亿元、不超过10亿元；回购价格上限为188元/股；预计回购数量约265.96万股至531.91万股，占公司总股本约0.13%至0.26%；回购期限为自董事会审议通过之日起12个月，预计至2027年8月2日。公告披露日，公司未收到董事、高级管理人员、持股5%以上股东及其一致行动人在回购期间的减持计划。</w:t>
      </w:r>
    </w:p>
    <w:p>
      <w:pPr>
        <w:pStyle w:val="Heading2"/>
        <w:spacing w:after="120" w:before="240"/>
      </w:pPr>
      <w:r>
        <w:rPr>
          <w:b/>
          <w:bCs/>
          <w:color w:val="2E74B5"/>
          <w:sz w:val="24"/>
          <w:szCs w:val="24"/>
        </w:rPr>
        <w:t xml:space="preserve">4.2 首次回购完成，回购计划进入执行阶段</w:t>
      </w:r>
    </w:p>
    <w:p>
      <w:pPr>
        <w:spacing w:after="160" w:line="300"/>
      </w:pPr>
      <w:r>
        <w:rPr>
          <w:sz w:val="22"/>
          <w:szCs w:val="22"/>
        </w:rPr>
        <w:t xml:space="preserve">公司于2026年8月6日实施首次回购，回购数量为471,800股，占公司总股本约0.0228%；最高成交价为106.64元/股，最低成交价为105.26元/股，成交总金额为49,993,778元，不含交易费用。</w:t>
      </w:r>
    </w:p>
    <w:p>
      <w:pPr>
        <w:pStyle w:val="Heading2"/>
        <w:spacing w:after="120" w:before="240"/>
      </w:pPr>
      <w:r>
        <w:rPr>
          <w:b/>
          <w:bCs/>
          <w:color w:val="2E74B5"/>
          <w:sz w:val="24"/>
          <w:szCs w:val="24"/>
        </w:rPr>
        <w:t xml:space="preserve">4.3 截至2026年8月31日累计回购304.76万股</w:t>
      </w:r>
    </w:p>
    <w:p>
      <w:pPr>
        <w:spacing w:after="160" w:line="300"/>
      </w:pPr>
      <w:r>
        <w:rPr>
          <w:sz w:val="22"/>
          <w:szCs w:val="22"/>
        </w:rPr>
        <w:t xml:space="preserve">公司于2026年9月2日披露回购进展公告。截至2026年8月31日，公司累计回购3,047,601股，占公司总股本比例为0.1470%；回购成交最高价为114.99元/股，最低价为97.81元/股；累计支付资金324,964,267.85元，含交易费用。按回购数量计算，已完成回购数量下限265.96万股的约114.6%；按金额计算，已使用资金约3.25亿元，占最低回购金额5亿元的约65.0%。公司仍将在回购期限内根据市场情况继续实施回购。上述为截至2026年8月31日的官方数据，暂未发现2026年9月12日前披露新的月度回购进展。</w:t>
      </w:r>
    </w:p>
    <w:p>
      <w:pPr>
        <w:pStyle w:val="Heading2"/>
        <w:spacing w:after="120" w:before="240"/>
      </w:pPr>
      <w:r>
        <w:rPr>
          <w:b/>
          <w:bCs/>
          <w:color w:val="2E74B5"/>
          <w:sz w:val="24"/>
          <w:szCs w:val="24"/>
        </w:rPr>
        <w:t xml:space="preserve">4.4 中证投服中心提名独立董事并公开征集表决权</w:t>
      </w:r>
    </w:p>
    <w:p>
      <w:pPr>
        <w:spacing w:after="160" w:line="300"/>
      </w:pPr>
      <w:r>
        <w:rPr>
          <w:sz w:val="22"/>
          <w:szCs w:val="22"/>
        </w:rPr>
        <w:t xml:space="preserve">公司于2026年9月3日披露《关于中证中小投资者服务中心有限责任公司公开征集表决权的公告》。中证中小投资者服务中心向阳光电源董事会提名张冬花为独立董事候选人，并就相关独立董事选任议案向全体股东公开征集表决权。该事项属于公司治理和中小投资者保护相关安排，不属于股东减持或增持事项，也不是对公司的处罚、监管措施或纪律处分。</w:t>
      </w:r>
    </w:p>
    <w:p>
      <w:pPr>
        <w:pStyle w:val="Heading2"/>
        <w:spacing w:after="120" w:before="240"/>
      </w:pPr>
      <w:r>
        <w:rPr>
          <w:b/>
          <w:bCs/>
          <w:color w:val="2E74B5"/>
          <w:sz w:val="24"/>
          <w:szCs w:val="24"/>
        </w:rPr>
        <w:t xml:space="preserve">4.5 公司拟召开2026年第一次临时股东会</w:t>
      </w:r>
    </w:p>
    <w:p>
      <w:pPr>
        <w:spacing w:after="160" w:line="300"/>
      </w:pPr>
      <w:r>
        <w:rPr>
          <w:sz w:val="22"/>
          <w:szCs w:val="22"/>
        </w:rPr>
        <w:t xml:space="preserve">截至2026年9月12日，公司公告显示拟于2026年9月15日召开2026年第一次临时股东会，审议《关于提名独立董事候选人的议案》和《关于为子公司提供担保的议案》。由于股东会尚未召开，相关事项截至本纪要日期仍属于待审议事项，不能视为已经通过。</w:t>
      </w:r>
    </w:p>
    <w:p>
      <w:pPr>
        <w:pStyle w:val="Heading2"/>
        <w:spacing w:after="120" w:before="240"/>
      </w:pPr>
      <w:r>
        <w:rPr>
          <w:b/>
          <w:bCs/>
          <w:color w:val="2E74B5"/>
          <w:sz w:val="24"/>
          <w:szCs w:val="24"/>
        </w:rPr>
        <w:t xml:space="preserve">4.6 2026年半年度报告：收入和净利润同比下降</w:t>
      </w:r>
    </w:p>
    <w:p>
      <w:pPr>
        <w:spacing w:after="160" w:line="300"/>
      </w:pPr>
      <w:r>
        <w:rPr>
          <w:sz w:val="22"/>
          <w:szCs w:val="22"/>
        </w:rPr>
        <w:t xml:space="preserve">公司2026年半年度报告于2026年8月29日披露。截至2026年6月30日，营业收入为309.12亿元，同比下降28.99%；归属于上市公司股东的净利润为52.59亿元，同比下降32.01%；经营活动产生的现金流量净额为37.35亿元，同比增长8.75%；毛利率为35.92%，同比增加1.56个百分点。公司拟以剔除回购专用证券账户已回购股份后的股本2,057,484,410股为基数，每10股派发现金红利6.4元，合计派发现金约13.17亿元，不进行资本公积金转增股本。该利润分配方案截至本纪要日期仍为董事会审议通过的预案，后续尚需履行相关程序。</w:t>
      </w:r>
    </w:p>
    <w:p>
      <w:pPr>
        <w:pStyle w:val="Heading2"/>
        <w:spacing w:after="120" w:before="240"/>
      </w:pPr>
      <w:r>
        <w:rPr>
          <w:b/>
          <w:bCs/>
          <w:color w:val="2E74B5"/>
          <w:sz w:val="24"/>
          <w:szCs w:val="24"/>
        </w:rPr>
        <w:t xml:space="preserve">4.7 员工持股计划完成股票购买，控股股东存在此前质押记录</w:t>
      </w:r>
    </w:p>
    <w:p>
      <w:pPr>
        <w:spacing w:after="160" w:line="300"/>
      </w:pPr>
      <w:r>
        <w:rPr>
          <w:sz w:val="22"/>
          <w:szCs w:val="22"/>
        </w:rPr>
        <w:t xml:space="preserve">根据公开股东动态信息，阳光电源2026年员工持股计划于2026年5月29日完成股票购买，增持约721.33万股。控股股东、实际控制人曹仁贤于2026年4月至6月存在部分股份质押及质押变动，2026年4月28日质押600万股，2026年6月1日相关公告显示新增或变更质押300万股。上述事项早于2026年8月至9月，公开检索未发现截至2026年9月12日新的大额质押、解除质押或控股股东减持公告。</w:t>
      </w:r>
    </w:p>
    <w:p>
      <w:pPr>
        <w:pStyle w:val="Heading2"/>
        <w:spacing w:after="120" w:before="240"/>
      </w:pPr>
      <w:r>
        <w:rPr>
          <w:b/>
          <w:bCs/>
          <w:color w:val="2E74B5"/>
          <w:sz w:val="24"/>
          <w:szCs w:val="24"/>
        </w:rPr>
        <w:t xml:space="preserve">4.8 暂未发现新的业绩预告、重大处罚或并购事项</w:t>
      </w:r>
    </w:p>
    <w:p>
      <w:pPr>
        <w:spacing w:after="160" w:line="300"/>
      </w:pPr>
      <w:r>
        <w:rPr>
          <w:sz w:val="22"/>
          <w:szCs w:val="22"/>
        </w:rPr>
        <w:t xml:space="preserve">截至2026年9月12日，暂未发现阳光电源在2026年9月新披露单独的业绩预告或业绩快报；未发现新的行政处罚公告、深交所或证监会新增监管函、纪律处分或立案调查公告；未发现新的重大并购、资产收购或出售、重大股权投资、控制权变更或重大资产重组公告。上述“未发现”仅基于公开网页和公告检索结果，最终应以巨潮资讯网、深圳证券交易所及公司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-1.53元/-1.78%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85.64元/85.77元/83.12元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约47.25万手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约39.84亿元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约1,749.79亿元/约1,339.87亿元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208.87元/83.12元；分别对应2025年11月6日和2026年9月11日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年内高点/低点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191.71元/83.12元；年内跌幅约50.42%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86.79元/87.67元/98.96元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收盘价低于MA5约2.75%、低于MA10约3.73%、低于MA20约14.71%；MA5低于MA10、MA10明显低于MA20，呈空头排列，短期和中期趋势偏弱。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DIF：-7.78；DEA：-6.90；MACD柱：-1.76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MACD柱位于零轴下方，且DIF低于DEA，空头动能仍在，尚未出现日线级别明确金叉；大幅下跌后不排除技术性反弹，但尚不能确认趋势反转。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RSI6：16.2；RSI12：24.8；RSI24：32.9；另一平台RSI14约28.94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RSI6低于30，处于传统超卖区间；RSI12、RSI14亦偏弱，显示短线卖压较重，但超卖不等同于立即反弹信号。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上轨123.56元；中轨98.96元；下轨74.36元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收盘价位于布林下轨与中轨之间，距离下轨约10.04元；中轨与MA20重合，约98.96元，对反弹构成中期压力；下轨约74.36元为下方技术支撑观察区域。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8月27日98.84元、成交额141.33亿元；9月11日84.40元、成交额39.84亿元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股价从8月27日至9月11日下跌约14.44元，期间多日收跌；8月31日、9月1日、9月2日曾出现较高成交额，显示下跌阶段伴随明显筹码交换，近期尚未出现明确的放量止跌信号。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最近10个交易日合计净流出约37.05亿元；最近4个交易日连续净流出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主力净流出约4.35亿元，其中超大单净流出约3.59亿元、大单净流出约0.98亿元，中单和小单分别净流入约0.61亿元和3.96亿元；大单、超大单卖出较明显，资金结构偏弱。该指标按成交单笔金额分类，不能直接等同于真实机构身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收盘价较52周高点下跌约59.6%，较52周低点仅高约1.5%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股价处于近52周低位区域，并于2026年9月11日盘中刷新阶段低点；相关高低点采用前复权口径，部分日K数据采用不复权口径，数字可能存在差异。</w:t>
            </w:r>
          </w:p>
        </w:tc>
      </w:tr>
    </w:tbl>
    <w:p>
      <w:pPr>
        <w:spacing w:before="200"/>
      </w:pPr>
    </w:p>
    <w:p>
      <w:pPr>
        <w:spacing w:after="160" w:line="300"/>
      </w:pPr>
      <w:r>
        <w:rPr>
          <w:sz w:val="22"/>
          <w:szCs w:val="22"/>
        </w:rPr>
        <w:t xml:space="preserve">截至2026年9月11日，阳光电源收盘价为84.40元，处于近52周低位区域，且盘中触及83.12元阶段低点。MA5、MA10、MA20呈空头排列，MACD位于零轴下方且DIF低于DEA，主趋势仍偏弱；同时RSI6为16.2，处于传统超卖区间，短线存在技术性修复可能。布林中轨及MA20约98.96元构成较强中期压力，下轨约74.36元为更下方的技术观察区域。近期下跌阶段曾伴随明显放量，最近10个交易日主力资金合计净流出约37.05亿元，最近4个交易日连续净流出，当前尚未形成明确的放量止跌与趋势反转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风险提示：以下内容仅为基于2026年9月11日收盘数据和历史技术指标的主观情景推演，不构成投资建议，也不是对未来股价的确定性预测。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86.8~88.0元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依据MA5约86.79元、MA10约87.67元及9月7日至9月10日价格密集区形成。若有效收复该区间，短线观察空间可向90~92元附近延伸，但不构成单点预测。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97~100元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依据8月28日收盘97.69元、8月27日收盘98.84元，以及MA20和布林中轨约98.96元形成；属于中期反弹压力，不能视为未来一周的基础目标。</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83.0~84.0元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依据2026年9月11日最低价83.12元和收盘价84.40元形成。若该区间止跌，可能形成短线震荡底部；若有效跌破，阶段新低风险上升。</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强支撑观察区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74~78元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主要依据布林下轨约74.36元及向下技术延伸空间测算，并非已经确认的底部；若第一支撑失守，价格可能进一步向该区域观察。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主观权重较高，约五成左右；属于基于当前技术与资金流设置的主观判断，不是统计概率）：参考价格带为82~89元。触发条件为83~84元附近未被有效跌破，成交额维持约27~40亿元近期常态区间，且主力净流出幅度收窄。可能表现为股价在83元附近反复寻底，反弹至86.8~88.0元一带后受短期均线压制。RSI6超卖提供技术修复可能，但MACD仍在零轴下方、均线空头排列，因此更接近弱势震荡而非趋势反转。</w:t>
      </w:r>
    </w:p>
    <w:p>
      <w:pPr>
        <w:pStyle w:val="ListParagraph"/>
        <w:numPr>
          <w:ilvl w:val="0"/>
          <w:numId w:val="2"/>
        </w:numPr>
        <w:spacing w:after="80" w:line="280"/>
      </w:pPr>
      <w:r>
        <w:rPr>
          <w:sz w:val="22"/>
          <w:szCs w:val="22"/>
        </w:rPr>
        <w:t xml:space="preserve">偏弱下行（主观权重中等，约三成左右；属于基于当前技术与资金流设置的主观判断，不是统计概率）：参考价格带为76~84元。触发条件为83元附近被放量跌破，同时主力资金继续较大规模净流出，或光伏、储能板块继续走弱。可能表现为股价向布林下轨74.36元附近靠拢，期间在76~80元出现技术性反抽。若跌破83元时成交额明显高于近期27~40亿元常态区间，卖压可能仍未充分释放；若缩量跌破，则需区分趋势破位与短线波动。</w:t>
      </w:r>
    </w:p>
    <w:p>
      <w:pPr>
        <w:pStyle w:val="ListParagraph"/>
        <w:numPr>
          <w:ilvl w:val="0"/>
          <w:numId w:val="2"/>
        </w:numPr>
        <w:spacing w:after="80" w:line="280"/>
      </w:pPr>
      <w:r>
        <w:rPr>
          <w:sz w:val="22"/>
          <w:szCs w:val="22"/>
        </w:rPr>
        <w:t xml:space="preserve">反弹走强（主观权重偏低，约两成左右；属于基于当前技术与资金流设置的主观判断，不是统计概率）：参考价格带为86~93元。触发条件为股价重新站上86.8~88.0元压力区，并至少连续一个交易日保持在该区间上方，同时成交额放大至45亿元以上，且主力资金由连续净流出转为净流入。可能先向90~93元反弹；若量价继续配合，才观察进一步挑战97~100元附近MA20和布林中轨压力。单凭RSI超卖不足以确认反弹走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完整交易日成交额约27.03亿~39.84亿元，换手率约1.97%~2.98%；最近10个交易日成交额约27.03亿~101.13亿元，8月31日因大跌明显放量。9月11日成交额39.84亿元、换手率2.98%、量比约0.94，主力资金仍处于连续净流出状态。阳光电源属于成交活跃的大市值股票，通常不存在小盘股式的极端流动性风险，但低位放量下跌后尚未形成稳定放量反弹，短线筹码仍在重新交换。截至2026年7月31日，公告披露的前十大股东合计持股比例约39.75%，前十大无限售条件股东合计持股比例约21.87%；截至2026年6月30日，股东总户数为279,457户，较2026年3月31日减少10.48%，但较2025年年中仍明显增加。前十大股东中包括香港中央结算、易方达创业板ETF、中国人寿传统保险产品、私募基金、ETF及员工持股计划等机构或准机构账户，但集中度主要由第一大股东曹仁贤贡献。上述股东数据分别截至2026年7月31日和2026年6月30日，较2026年9月11日行情存在时间滞后，不能完全代表实时筹码结构。两融方面，截至2026年9月10日融资余额约82.39亿元，占流通市值约6.04%，近期融资资金出现净偿还，显示杠杆资金短线风险偏好有所下降。</w:t>
      </w:r>
    </w:p>
    <w:p>
      <w:pPr>
        <w:spacing w:after="160" w:line="300"/>
      </w:pPr>
      <w:r>
        <w:rPr>
          <w:sz w:val="22"/>
          <w:szCs w:val="22"/>
        </w:rPr>
        <w:t xml:space="preserve">若未来连续两个交易日成交额达到45亿元以上、换手率明显高于约3%的近期常态，且收盘价重新站上86.8~88.0元压力区，同时主力资金至少出现单日净流入，可作为短线资金承接增强的观察信号；若放量时股价反而跌破83元，则更应理解为卖压释放，而非资金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观察83.0~84.0元支撑区能否止跌，以及该区域表现为缩量企稳还是放量跌破。</w:t>
      </w:r>
    </w:p>
    <w:p>
      <w:pPr>
        <w:pStyle w:val="ListParagraph"/>
        <w:numPr>
          <w:ilvl w:val="0"/>
          <w:numId w:val="2"/>
        </w:numPr>
        <w:spacing w:after="80" w:line="280"/>
      </w:pPr>
      <w:r>
        <w:rPr>
          <w:sz w:val="22"/>
          <w:szCs w:val="22"/>
        </w:rPr>
        <w:t xml:space="preserve">观察86.8~88.0元压力区能否被有效收复，并关注MA5、MA10是否同步改善。</w:t>
      </w:r>
    </w:p>
    <w:p>
      <w:pPr>
        <w:pStyle w:val="ListParagraph"/>
        <w:numPr>
          <w:ilvl w:val="0"/>
          <w:numId w:val="2"/>
        </w:numPr>
        <w:spacing w:after="80" w:line="280"/>
      </w:pPr>
      <w:r>
        <w:rPr>
          <w:sz w:val="22"/>
          <w:szCs w:val="22"/>
        </w:rPr>
        <w:t xml:space="preserve">观察成交额能否连续达到45亿元以上，并结合主力资金能否由连续净流出转为净流入进行交叉判断。</w:t>
      </w:r>
    </w:p>
    <w:p>
      <w:pPr>
        <w:pStyle w:val="ListParagraph"/>
        <w:numPr>
          <w:ilvl w:val="0"/>
          <w:numId w:val="2"/>
        </w:numPr>
        <w:spacing w:after="80" w:line="280"/>
      </w:pPr>
      <w:r>
        <w:rPr>
          <w:sz w:val="22"/>
          <w:szCs w:val="22"/>
        </w:rPr>
        <w:t xml:space="preserve">以上为观察思路，非操作指令；97~100元附近叠加MA20和布林中轨，是更强的中期压力观察区。</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阳光电源所在行业覆盖光伏逆变器、储能系统及新能源电站开发。光伏逆变器行业全球集中度较高，中国企业在全球市场占据主导；储能行业则同时存在交流侧系统集成商、直流侧电池系统企业和从电芯向系统集成延伸的综合厂商。行业竞争从单一硬件价格逐步扩展至效率、并网与构网能力、安全、质保、银行可融资性、海外认证、本地服务、软件及项目交付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光伏逆变器行业：Wood Mackenzie数据显示，2023年全球光伏逆变器出货量增长至536GWac，全球前十大厂商中有九家总部位于中国；公司披露的S&amp;P Global数据称，阳光电源2023年光伏逆变器出货量排名全球第一。</w:t>
      </w:r>
    </w:p>
    <w:p>
      <w:pPr>
        <w:pStyle w:val="ListParagraph"/>
        <w:numPr>
          <w:ilvl w:val="0"/>
          <w:numId w:val="2"/>
        </w:numPr>
        <w:spacing w:after="80" w:line="280"/>
      </w:pPr>
      <w:r>
        <w:rPr>
          <w:sz w:val="22"/>
          <w:szCs w:val="22"/>
        </w:rPr>
        <w:t xml:space="preserve">光伏逆变器行业核心竞争要素包括转换效率和可靠性、并网适应能力、弱电网运行能力、产品认证、银行可融资性、海外渠道、售后服务、本地化交付、规模采购和制造成本。</w:t>
      </w:r>
    </w:p>
    <w:p>
      <w:pPr>
        <w:pStyle w:val="ListParagraph"/>
        <w:numPr>
          <w:ilvl w:val="0"/>
          <w:numId w:val="2"/>
        </w:numPr>
        <w:spacing w:after="80" w:line="280"/>
      </w:pPr>
      <w:r>
        <w:rPr>
          <w:sz w:val="22"/>
          <w:szCs w:val="22"/>
        </w:rPr>
        <w:t xml:space="preserve">行业风险包括产品价格下行、海外贸易壁垒、库存波动和客户招标压价。</w:t>
      </w:r>
    </w:p>
    <w:p>
      <w:pPr>
        <w:pStyle w:val="ListParagraph"/>
        <w:numPr>
          <w:ilvl w:val="0"/>
          <w:numId w:val="2"/>
        </w:numPr>
        <w:spacing w:after="80" w:line="280"/>
      </w:pPr>
      <w:r>
        <w:rPr>
          <w:sz w:val="22"/>
          <w:szCs w:val="22"/>
        </w:rPr>
        <w:t xml:space="preserve">储能行业参与者包括阳光电源、特斯拉、Fluence、中车株洲所、海博思创等交流侧系统集成商，以及宁德时代、比亚迪、海辰储能、欣旺达等从电芯向系统集成延伸的企业。</w:t>
      </w:r>
    </w:p>
    <w:p>
      <w:pPr>
        <w:pStyle w:val="ListParagraph"/>
        <w:numPr>
          <w:ilvl w:val="0"/>
          <w:numId w:val="2"/>
        </w:numPr>
        <w:spacing w:after="80" w:line="280"/>
      </w:pPr>
      <w:r>
        <w:rPr>
          <w:sz w:val="22"/>
          <w:szCs w:val="22"/>
        </w:rPr>
        <w:t xml:space="preserve">不同储能统计机构对交流侧、直流侧、出货量和并网容量的定义不同，相关排名不宜简单混用。</w:t>
      </w:r>
    </w:p>
    <w:p>
      <w:pPr>
        <w:pStyle w:val="ListParagraph"/>
        <w:numPr>
          <w:ilvl w:val="0"/>
          <w:numId w:val="2"/>
        </w:numPr>
        <w:spacing w:after="80" w:line="280"/>
      </w:pPr>
      <w:r>
        <w:rPr>
          <w:sz w:val="22"/>
          <w:szCs w:val="22"/>
        </w:rPr>
        <w:t xml:space="preserve">储能行业竞争重点包括电芯成本和供应稳定性、PCS效率及构网能力、热管理、消防和安全性、系统寿命、质保、银行可融资性、海外认证、本地售后、大型项目交付、EMS和电力交易能力。</w:t>
      </w:r>
    </w:p>
    <w:p>
      <w:pPr>
        <w:pStyle w:val="ListParagraph"/>
        <w:numPr>
          <w:ilvl w:val="0"/>
          <w:numId w:val="2"/>
        </w:numPr>
        <w:spacing w:after="80" w:line="280"/>
      </w:pPr>
      <w:r>
        <w:rPr>
          <w:sz w:val="22"/>
          <w:szCs w:val="22"/>
        </w:rPr>
        <w:t xml:space="preserve">阳光电源相对优势在于PCS、电力电子、构网型储能、全球项目经验和光储协同；宁德时代、比亚迪等企业在电芯规模、成本和电池技术上更强，双方既存在上下游合作，也在储能系统集成和大型储能项目中形成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华为数字能源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光伏逆变器、智能光伏、储能和数字能源解决方案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在数字化、通信、智能控制、组串式逆变器和全球品牌方面优势明显，与阳光电源在大型光伏项目和数字能源解决方案领域直接竞争；不属于A股上市公司，无法进行标准A股财务估值对比。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锦浪科技（300763）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组串式光伏逆变器、储能逆变器和分布式光伏</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更聚焦组串式逆变器及分布式、户用和工商业场景；阳光电源覆盖集中式、组串式、大型储能、工商业储能和电站开发，业务广度更大。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固德威（688390）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光伏逆变器、储能逆变器、户用光储和能源管理系统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在户用光储、分布式光伏和家庭能源管理方面布局较强；阳光电源在大型集中式光伏、海外大型储能、PCS和大型项目交付方面规模更大。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上能电气（300827）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集中式逆变器、组串式逆变器、储能变流器和电站电力电子设备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在集中式逆变器和大型电站电力电子产品方面与阳光电源直接竞争，收入体量和全球渠道规模相对较小，但在集中式和储能变流器领域具有技术积累。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宁德时代（300750）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储能电池系统、储能电芯和储能解决方案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优势在于电芯技术、产能、成本和电池供应链；阳光电源优势在PCS、系统集成、构网技术、并网控制和海外项目交付。双方既存在储能产业链上下游合作，也在储能系统集成和大型储能项目中竞争。</w:t>
            </w:r>
          </w:p>
        </w:tc>
      </w:tr>
    </w:tbl>
    <w:p>
      <w:pPr>
        <w:spacing w:before="200"/>
      </w:pPr>
    </w:p>
    <w:p>
      <w:pPr>
        <w:spacing w:after="160" w:line="300"/>
      </w:pPr>
      <w:r>
        <w:rPr>
          <w:sz w:val="22"/>
          <w:szCs w:val="22"/>
        </w:rPr>
        <w:t xml:space="preserve">阳光电源相较聚焦型逆变器企业，业务覆盖光伏逆变器、大型及工商业储能、风电变流、电站开发和海外项目交付，业务广度及系统集成能力更强；相较宁德时代、比亚迪等电芯企业，其核心优势不在电芯资源和成本，而在PCS、电力电子控制、构网技术、并网控制、品牌、渠道和全球交付。公司的盈利质量较大程度取决于储能和海外逆变器占比能否持续提升，而非单纯依靠电站开发规模扩张。</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储能系统盈利能力下滑风险：2026年上半年储能系统收入同比下降13.18%，毛利率为32.43%，同比下降7.49个百分点；尽管发货量约25GWh、同比增长28%，但出货增长尚未转化为收入和利润增长，若项目价格竞争持续，储能规模扩张可能伴随利润率承压。</w:t>
      </w:r>
    </w:p>
    <w:p>
      <w:pPr>
        <w:pStyle w:val="ListParagraph"/>
        <w:numPr>
          <w:ilvl w:val="0"/>
          <w:numId w:val="2"/>
        </w:numPr>
        <w:spacing w:after="80" w:line="280"/>
      </w:pPr>
      <w:r>
        <w:rPr>
          <w:sz w:val="22"/>
          <w:szCs w:val="22"/>
        </w:rPr>
        <w:t xml:space="preserve">关键供应链依赖及成本波动风险：公司储能系统较大程度依赖欣旺达电子、瑞浦兰钧等外部电芯供应商，光伏和储能业务的原材料成本未完整拆分披露，且公司对电芯、芯片及关键电气元件并不具备绝对议价能力，供应价格变化可能影响毛利率。</w:t>
      </w:r>
    </w:p>
    <w:p>
      <w:pPr>
        <w:pStyle w:val="ListParagraph"/>
        <w:numPr>
          <w:ilvl w:val="0"/>
          <w:numId w:val="2"/>
        </w:numPr>
        <w:spacing w:after="80" w:line="280"/>
      </w:pPr>
      <w:r>
        <w:rPr>
          <w:sz w:val="22"/>
          <w:szCs w:val="22"/>
        </w:rPr>
        <w:t xml:space="preserve">海外经营与汇率风险：2025年海外收入占比已升至60.54%，2026年上半年汇兑损失约5.87亿元、财务费用同比增长239.94%；海外客户回款、当地认证、售后交付及汇率波动可能同时影响收入确认、现金流和利润。</w:t>
      </w:r>
    </w:p>
    <w:p>
      <w:pPr>
        <w:pStyle w:val="ListParagraph"/>
        <w:numPr>
          <w:ilvl w:val="0"/>
          <w:numId w:val="2"/>
        </w:numPr>
        <w:spacing w:after="80" w:line="280"/>
      </w:pPr>
      <w:r>
        <w:rPr>
          <w:sz w:val="22"/>
          <w:szCs w:val="22"/>
        </w:rPr>
        <w:t xml:space="preserve">美国及其他海外政策风险：公司依赖全球渠道和海外项目交付，行业面临海外贸易壁垒风险；若相关市场政策、准入规则或项目投资条件变化，可能影响逆变器和储能系统订单、交付节奏及盈利水平。</w:t>
      </w:r>
    </w:p>
    <w:p>
      <w:pPr>
        <w:pStyle w:val="ListParagraph"/>
        <w:numPr>
          <w:ilvl w:val="0"/>
          <w:numId w:val="2"/>
        </w:numPr>
        <w:spacing w:after="80" w:line="280"/>
      </w:pPr>
      <w:r>
        <w:rPr>
          <w:sz w:val="22"/>
          <w:szCs w:val="22"/>
        </w:rPr>
        <w:t xml:space="preserve">项目型业务回款和营运资金风险：公司客户包括大型电力集团、EPC总包商及海外能源企业，大型储能项目可能影响季度收入确认；截至2024年末应收账款约305.23亿元、约占当年营业收入39%，海外客户回款、合同资产及项目结算变化仍可能造成现金流和减值压力。</w:t>
      </w:r>
    </w:p>
    <w:p>
      <w:pPr>
        <w:pStyle w:val="ListParagraph"/>
        <w:numPr>
          <w:ilvl w:val="0"/>
          <w:numId w:val="2"/>
        </w:numPr>
        <w:spacing w:after="80" w:line="280"/>
      </w:pPr>
      <w:r>
        <w:rPr>
          <w:sz w:val="22"/>
          <w:szCs w:val="22"/>
        </w:rPr>
        <w:t xml:space="preserve">新能源投资开发业务波动风险：2026年上半年新能源投资开发收入约12.58亿元，同比下降约85%；该业务受电站转让节奏、融资条件和项目收益率影响较大，可能造成公司收入和利润在不同期间明显波动。</w:t>
      </w:r>
    </w:p>
    <w:p>
      <w:pPr>
        <w:pStyle w:val="ListParagraph"/>
        <w:numPr>
          <w:ilvl w:val="0"/>
          <w:numId w:val="2"/>
        </w:numPr>
        <w:spacing w:after="80" w:line="280"/>
      </w:pPr>
      <w:r>
        <w:rPr>
          <w:sz w:val="22"/>
          <w:szCs w:val="22"/>
        </w:rPr>
        <w:t xml:space="preserve">新业务兑现风险：2025年年报新增披露AIDC电源业务，主要提供固态变压器SST及电源解决方案，但目前仍处于布局拓展阶段，尚不能视为与逆变器、储能同等规模的成熟主业；若订单、客户验证或交付进度不及预期，相关增长预期可能落空。</w:t>
      </w:r>
    </w:p>
    <w:p>
      <w:pPr>
        <w:pStyle w:val="ListParagraph"/>
        <w:numPr>
          <w:ilvl w:val="0"/>
          <w:numId w:val="2"/>
        </w:numPr>
        <w:spacing w:after="80" w:line="280"/>
      </w:pPr>
      <w:r>
        <w:rPr>
          <w:sz w:val="22"/>
          <w:szCs w:val="22"/>
        </w:rPr>
        <w:t xml:space="preserve">股价与资金面波动风险：截至2026年9月11日股价84.40元，较52周高点下跌约59.6%，MA5、MA10、MA20呈空头排列，最近10个交易日主力资金合计净流出约37.05亿元；尽管RSI处于超卖区间，仍可能出现弱势震荡或继续下探，技术性超卖并不等同于趋势反转。</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阳光电源的中长期增长基础仍在于新能源电力电子设备、储能系统和海外市场的综合竞争力。2025年海外收入占比、储能收入占比和综合毛利率均有所提升，表明产品结构升级和全球化布局曾对盈利形成支撑；若储能毛利率逐步修复、海外高价值逆变器持续放量，并实现构网型储能、本地化交付和AIDC电源订单兑现，公司盈利有望在2027年以后恢复增长。</w:t>
      </w:r>
    </w:p>
    <w:p>
      <w:pPr>
        <w:spacing w:after="160" w:line="300"/>
      </w:pPr>
      <w:r>
        <w:rPr>
          <w:sz w:val="22"/>
          <w:szCs w:val="22"/>
        </w:rPr>
        <w:t xml:space="preserve">但当前业绩处于调整阶段，2026年上半年收入、归母净利润及扣非净利润均同比下降，新能源投资开发收入大幅收缩，储能业务出现“发货增长、收入和毛利率下降”的分化，财务费用同比增长239.94%且汇兑损失约5.87亿元。后续应重点关注储能系统毛利率、海外项目交付与回款、汇率影响、投资开发业务确认节奏以及库存和合同资产变化。</w:t>
      </w:r>
    </w:p>
    <w:p>
      <w:pPr>
        <w:spacing w:after="160" w:line="300"/>
      </w:pPr>
      <w:r>
        <w:rPr>
          <w:sz w:val="22"/>
          <w:szCs w:val="22"/>
        </w:rPr>
        <w:t xml:space="preserve">机构盈利预测和目标价分歧较大，技术面也显示股价仍处于弱势寻底阶段。因此，公司未来表现将取决于利润下滑能否在储能及海外业务改善下收敛，以及AIDC等新业务能否从布局阶段转化为可验证的订单和收入；相关预期存在较大的兑现不确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PDF — https://static.cninfo.com.cn/finalpage/enpage/300274_2.pdf?utm_source=openai</w:t>
      </w:r>
    </w:p>
    <w:p>
      <w:pPr>
        <w:spacing w:after="200"/>
      </w:pPr>
      <w:r>
        <w:rPr>
          <w:i/>
          <w:iCs/>
          <w:color w:val="595959"/>
          <w:sz w:val="18"/>
          <w:szCs w:val="18"/>
        </w:rPr>
        <w:t xml:space="preserve">阳光电源(300274)_公司公告_阳光电源：2025年年度报告新浪财经_新浪网 — https://money.finance.sina.com.cn/corp/view/vCB_AllBulletinDetail.php?id=12052230&amp;stockid=300274&amp;utm_source=openai</w:t>
      </w:r>
    </w:p>
    <w:p>
      <w:pPr>
        <w:spacing w:after="200"/>
      </w:pPr>
      <w:r>
        <w:rPr>
          <w:i/>
          <w:iCs/>
          <w:color w:val="595959"/>
          <w:sz w:val="18"/>
          <w:szCs w:val="18"/>
        </w:rPr>
        <w:t xml:space="preserve">https://static.cninfo.com.cn/finalpage/2026-04-01/1225066678.PDF — https://static.cninfo.com.cn/finalpage/2026-04-01/1225066678.PDF</w:t>
      </w:r>
    </w:p>
    <w:p>
      <w:pPr>
        <w:spacing w:after="200"/>
      </w:pPr>
      <w:r>
        <w:rPr>
          <w:i/>
          <w:iCs/>
          <w:color w:val="595959"/>
          <w:sz w:val="18"/>
          <w:szCs w:val="18"/>
        </w:rPr>
        <w:t xml:space="preserve">阳光电源股份有限公司 2025 年年度报告全文 — https://static.cninfo.com.cn/finalpage/2026-04-01/1225066678.PDF?utm_source=openai</w:t>
      </w:r>
    </w:p>
    <w:p>
      <w:pPr>
        <w:spacing w:after="200"/>
      </w:pPr>
      <w:r>
        <w:rPr>
          <w:i/>
          <w:iCs/>
          <w:color w:val="595959"/>
          <w:sz w:val="18"/>
          <w:szCs w:val="18"/>
        </w:rPr>
        <w:t xml:space="preserve">https://cn.sungrowpower.com/storage/notice/iXCWPvAKdPMskX1nig8hGmY30qPWz5W19blFWDE9.pdf — https://cn.sungrowpower.com/storage/notice/iXCWPvAKdPMskX1nig8hGmY30qPWz5W19blFWDE9.pdf</w:t>
      </w:r>
    </w:p>
    <w:p>
      <w:pPr>
        <w:spacing w:after="200"/>
      </w:pPr>
      <w:r>
        <w:rPr>
          <w:i/>
          <w:iCs/>
          <w:color w:val="595959"/>
          <w:sz w:val="18"/>
          <w:szCs w:val="18"/>
        </w:rPr>
        <w:t xml:space="preserve">公司公告_阳光电源：2024年年度报告新浪财经_新浪网 — https://vip.stock.finance.sina.com.cn/corp/view/vCB_AllBulletinDetail.php?id=10991096&amp;utm_source=openai</w:t>
      </w:r>
    </w:p>
    <w:p>
      <w:pPr>
        <w:spacing w:after="200"/>
      </w:pPr>
      <w:r>
        <w:rPr>
          <w:i/>
          <w:iCs/>
          <w:color w:val="595959"/>
          <w:sz w:val="18"/>
          <w:szCs w:val="18"/>
        </w:rPr>
        <w:t xml:space="preserve">公司公告_阳光电源：境外发行全球存托凭证新增境内基础A股股份募集资金使用的可行性分析报告(修订稿)新浪财经_新浪网 — https://vip.stock.finance.sina.com.cn/corp/view/vCB_AllBulletinDetail.php?id=10626714&amp;stockid=&amp;utm_source=openai</w:t>
      </w:r>
    </w:p>
    <w:p>
      <w:pPr>
        <w:spacing w:after="200"/>
      </w:pPr>
      <w:r>
        <w:rPr>
          <w:i/>
          <w:iCs/>
          <w:color w:val="595959"/>
          <w:sz w:val="18"/>
          <w:szCs w:val="18"/>
        </w:rPr>
        <w:t xml:space="preserve">阳光电源股份有限公司 2024 年年度报告全文 — https://disc.static.szse.cn/disc/disk03/finalpage/2025-04-26/36026f9c-1387-447b-adba-077e75305e2f.PDF?utm_source=openai</w:t>
      </w:r>
    </w:p>
    <w:p>
      <w:pPr>
        <w:spacing w:after="200"/>
      </w:pPr>
      <w:r>
        <w:rPr>
          <w:i/>
          <w:iCs/>
          <w:color w:val="595959"/>
          <w:sz w:val="18"/>
          <w:szCs w:val="18"/>
        </w:rPr>
        <w:t xml:space="preserve">阳光电源(300274)_公司公告_阳光电源：2025年年度报告摘要新浪财经_新浪网 — https://money.finance.sina.com.cn/corp/view/vCB_AllBulletinDetail.php?id=12052227&amp;stockid=300274&amp;utm_source=openai</w:t>
      </w:r>
    </w:p>
    <w:p>
      <w:pPr>
        <w:spacing w:after="200"/>
      </w:pPr>
      <w:r>
        <w:rPr>
          <w:i/>
          <w:iCs/>
          <w:color w:val="595959"/>
          <w:sz w:val="18"/>
          <w:szCs w:val="18"/>
        </w:rPr>
        <w:t xml:space="preserve">Sungrow Holds the Global No. 1 Position in PV Inverter Shipments for 2023 - SUNGROW — https://www.sungrowpower.com/us/en/newsdetail/sungrow-holds-the-global-no-1-position-in-pv-inverter-shipments-for-2023?utm_source=openai</w:t>
      </w:r>
    </w:p>
    <w:p>
      <w:pPr>
        <w:spacing w:after="200"/>
      </w:pPr>
      <w:r>
        <w:rPr>
          <w:i/>
          <w:iCs/>
          <w:color w:val="595959"/>
          <w:sz w:val="18"/>
          <w:szCs w:val="18"/>
        </w:rPr>
        <w:t xml:space="preserve">新型储能行业重塑能源版图 低价竞争态势下市场两极分化 国产出海按下快进键_观研报告网 — https://www.chinabaogao.com/detail/763067.html?utm_source=openai</w:t>
      </w:r>
    </w:p>
    <w:p>
      <w:pPr>
        <w:spacing w:after="200"/>
      </w:pPr>
      <w:r>
        <w:rPr>
          <w:i/>
          <w:iCs/>
          <w:color w:val="595959"/>
          <w:sz w:val="18"/>
          <w:szCs w:val="18"/>
        </w:rPr>
        <w:t xml:space="preserve">〖行业深度〗洞察2024：中国光伏逆变器行业竞争格局及市场份额(附市场集中度、企业竞争力评价等)_行业研究报告 - 前瞻网 — https://www.qianzhan.com/analyst/detail/220/240626-0093fec8.html?utm_source=openai</w:t>
      </w:r>
    </w:p>
    <w:p>
      <w:pPr>
        <w:spacing w:after="200"/>
      </w:pPr>
      <w:r>
        <w:rPr>
          <w:i/>
          <w:iCs/>
          <w:color w:val="595959"/>
          <w:sz w:val="18"/>
          <w:szCs w:val="18"/>
        </w:rPr>
        <w:t xml:space="preserve">锦浪科技(300763)_公司公告_锦浪科技：天健会计师事务所(特殊普通合伙)关于锦浪科技股份有限公司申请向不特定对象发行可转换公司债券审核问询函中有关财务事项的说明(修订稿)新浪财经_新浪网 — https://money.finance.sina.com.cn/corp/view/vCB_AllBulletinDetail.php?id=11252768&amp;stockid=300763&amp;utm_source=openai</w:t>
      </w:r>
    </w:p>
    <w:p>
      <w:pPr>
        <w:spacing w:after="200"/>
      </w:pPr>
      <w:r>
        <w:rPr>
          <w:i/>
          <w:iCs/>
          <w:color w:val="595959"/>
          <w:sz w:val="18"/>
          <w:szCs w:val="18"/>
        </w:rPr>
        <w:t xml:space="preserve">储能市场格局加快重塑 — https://paper.people.com.cn/zgnyb/pad/content/202505/12/content_30073631.html?utm_source=openai</w:t>
      </w:r>
    </w:p>
    <w:p>
      <w:pPr>
        <w:spacing w:after="200"/>
      </w:pPr>
      <w:r>
        <w:rPr>
          <w:i/>
          <w:iCs/>
          <w:color w:val="595959"/>
          <w:sz w:val="18"/>
          <w:szCs w:val="18"/>
        </w:rPr>
        <w:t xml:space="preserve">阳光电源：2026年上半年净利润52.59亿元 拟10派6.4元 _ 东方财富网 — https://finance.eastmoney.com/a/202608293859215273.html?utm_source=openai</w:t>
      </w:r>
    </w:p>
    <w:p>
      <w:pPr>
        <w:spacing w:after="200"/>
      </w:pPr>
      <w:r>
        <w:rPr>
          <w:i/>
          <w:iCs/>
          <w:color w:val="595959"/>
          <w:sz w:val="18"/>
          <w:szCs w:val="18"/>
        </w:rPr>
        <w:t xml:space="preserve">阳光电源(300274)_公司公告_阳光电源：2026年半年度报告摘要新浪财经_新浪网 — https://money.finance.sina.com.cn/corp/view/vCB_AllBulletinDetail.php?id=12570245&amp;stockid=300274&amp;utm_source=openai</w:t>
      </w:r>
    </w:p>
    <w:p>
      <w:pPr>
        <w:spacing w:after="200"/>
      </w:pPr>
      <w:r>
        <w:rPr>
          <w:i/>
          <w:iCs/>
          <w:color w:val="595959"/>
          <w:sz w:val="18"/>
          <w:szCs w:val="18"/>
        </w:rPr>
        <w:t xml:space="preserve">阳光电源(300274) 盈利预测_F10_同花顺金融服务网 — https://basic.10jqka.com.cn/300274/worth.html</w:t>
      </w:r>
    </w:p>
    <w:p>
      <w:pPr>
        <w:spacing w:after="200"/>
      </w:pPr>
      <w:r>
        <w:rPr>
          <w:i/>
          <w:iCs/>
          <w:color w:val="595959"/>
          <w:sz w:val="18"/>
          <w:szCs w:val="18"/>
        </w:rPr>
        <w:t xml:space="preserve">上市公司历史业绩报表-阳光电源(300274) — https://vip.stock.finance.sina.com.cn/q/go.php/vFinanceAnalyze/kind/history/index.phtml?symbol=300274&amp;utm_source=openai</w:t>
      </w:r>
    </w:p>
    <w:p>
      <w:pPr>
        <w:spacing w:after="200"/>
      </w:pPr>
      <w:r>
        <w:rPr>
          <w:i/>
          <w:iCs/>
          <w:color w:val="595959"/>
          <w:sz w:val="18"/>
          <w:szCs w:val="18"/>
        </w:rPr>
        <w:t xml:space="preserve">阳光电源(300274) 盈利预测_F10_同花顺金融服务网 — https://basic.10jqka.com.cn/144/300274/worth.html?utm_source=openai</w:t>
      </w:r>
    </w:p>
    <w:p>
      <w:pPr>
        <w:spacing w:after="200"/>
      </w:pPr>
      <w:r>
        <w:rPr>
          <w:i/>
          <w:iCs/>
          <w:color w:val="595959"/>
          <w:sz w:val="18"/>
          <w:szCs w:val="18"/>
        </w:rPr>
        <w:t xml:space="preserve">国泰海通证券-阳光电源-300274-技术优势助公司持续蜕变，AI发展带来成长新曲线-260703-研报-公司调研-慧博投研资讯 — https://m.hibor.com.cn/wap_detail.aspx?id=f9c28e4fbf8bca0e50b0407933a54d7b</w:t>
      </w:r>
    </w:p>
    <w:p>
      <w:pPr>
        <w:spacing w:after="200"/>
      </w:pPr>
      <w:r>
        <w:rPr>
          <w:i/>
          <w:iCs/>
          <w:color w:val="595959"/>
          <w:sz w:val="18"/>
          <w:szCs w:val="18"/>
        </w:rPr>
        <w:t xml:space="preserve">阳光电源(300274) 盈利预测_F10_同花顺金融服务网 — https://basic.10jqka.com.cn/144/300274/worth.html</w:t>
      </w:r>
    </w:p>
    <w:p>
      <w:pPr>
        <w:spacing w:after="200"/>
      </w:pPr>
      <w:r>
        <w:rPr>
          <w:i/>
          <w:iCs/>
          <w:color w:val="595959"/>
          <w:sz w:val="18"/>
          <w:szCs w:val="18"/>
        </w:rPr>
        <w:t xml:space="preserve">阳光电源(300274)：2Q储能毛利率环比持续改善__新浪财经_新浪网 — https://stock.finance.sina.com.cn/stock/go.php/vReport_Show/kind/search/rptid/841497959306/index.phtml?utm_source=openai</w:t>
      </w:r>
    </w:p>
    <w:p>
      <w:pPr>
        <w:spacing w:after="200"/>
      </w:pPr>
      <w:r>
        <w:rPr>
          <w:i/>
          <w:iCs/>
          <w:color w:val="595959"/>
          <w:sz w:val="18"/>
          <w:szCs w:val="18"/>
        </w:rPr>
        <w:t xml:space="preserve">阳光电源(300274)个股分析_牛叉诊股_同花顺财经 — https://doctor.10jqka.com.cn/300274/?utm_source=openai</w:t>
      </w:r>
    </w:p>
    <w:p>
      <w:pPr>
        <w:spacing w:after="200"/>
      </w:pPr>
      <w:r>
        <w:rPr>
          <w:i/>
          <w:iCs/>
          <w:color w:val="595959"/>
          <w:sz w:val="18"/>
          <w:szCs w:val="18"/>
        </w:rPr>
        <w:t xml:space="preserve">阳光电源(300274) 股价、新闻、报价和图表 - 富途牛牛 — https://www.futunn.com/stock/300274-SZ?chain_id=Name1K9-3FXPhg.1kpv380&amp;global_content=%7B%22promote_id%22%3A13766%2C%22sub_promote_id%22%3A33%2C%22f%22%3A%22news.futunn.com%2Fhk%2Fpost%2F68121026%2Fresearch-alert-honeywell-q4-earnings-beat-aerospace-fueling-results%22%7D&amp;utm_source=openai</w:t>
      </w:r>
    </w:p>
    <w:p>
      <w:pPr>
        <w:spacing w:after="200"/>
      </w:pPr>
      <w:r>
        <w:rPr>
          <w:i/>
          <w:iCs/>
          <w:color w:val="595959"/>
          <w:sz w:val="18"/>
          <w:szCs w:val="18"/>
        </w:rPr>
        <w:t xml:space="preserve">证券代码：300274  证券简称：阳光电源  公告编号：2026—054 — https://disc.static.szse.cn/download/disc/disk03/finalpage/2026-08-03/6c4f1699-2256-412a-a2b1-d40a48cc489a.PDF?utm_source=openai</w:t>
      </w:r>
    </w:p>
    <w:p>
      <w:pPr>
        <w:spacing w:after="200"/>
      </w:pPr>
      <w:r>
        <w:rPr>
          <w:i/>
          <w:iCs/>
          <w:color w:val="595959"/>
          <w:sz w:val="18"/>
          <w:szCs w:val="18"/>
        </w:rPr>
        <w:t xml:space="preserve">股市必读：阳光电源新发布《关于首次回购公司股份的公告》_股票频道_证券之星 — https://stock.stockstar.com/RB2026081000000057.shtml?utm_source=openai</w:t>
      </w:r>
    </w:p>
    <w:p>
      <w:pPr>
        <w:spacing w:after="200"/>
      </w:pPr>
      <w:r>
        <w:rPr>
          <w:i/>
          <w:iCs/>
          <w:color w:val="595959"/>
          <w:sz w:val="18"/>
          <w:szCs w:val="18"/>
        </w:rPr>
        <w:t xml:space="preserve">阳光电源(300274)_公司公告_阳光电源：关于回购公司股份的进展公告新浪财经_新浪网 — https://money.finance.sina.com.cn/corp/view/vCB_AllBulletinDetail.php?id=12580965&amp;stockid=300274&amp;utm_source=openai</w:t>
      </w:r>
    </w:p>
    <w:p>
      <w:pPr>
        <w:spacing w:after="200"/>
      </w:pPr>
      <w:r>
        <w:rPr>
          <w:i/>
          <w:iCs/>
          <w:color w:val="595959"/>
          <w:sz w:val="18"/>
          <w:szCs w:val="18"/>
        </w:rPr>
        <w:t xml:space="preserve">阳光电源(300274)_公司公告_阳光电源：关于中证中小投资者服务中心有限责任公司公开征集表决权的公告新浪财经_新浪网 — https://vip.stock.finance.sina.com.cn/corp/view/vCB_AllBulletinDetail.php?CompanyCode=80184822&amp;gather=1&amp;id=12582960&amp;utm_source=openai</w:t>
      </w:r>
    </w:p>
    <w:p>
      <w:pPr>
        <w:spacing w:after="200"/>
      </w:pPr>
      <w:r>
        <w:rPr>
          <w:i/>
          <w:iCs/>
          <w:color w:val="595959"/>
          <w:sz w:val="18"/>
          <w:szCs w:val="18"/>
        </w:rPr>
        <w:t xml:space="preserve">阳光电源(300274) 最新动态_F10_同花顺金融服务网 — https://basic.10jqka.com.cn/300274/index.html?utm_source=openai</w:t>
      </w:r>
    </w:p>
    <w:p>
      <w:pPr>
        <w:spacing w:after="200"/>
      </w:pPr>
      <w:r>
        <w:rPr>
          <w:i/>
          <w:iCs/>
          <w:color w:val="595959"/>
          <w:sz w:val="18"/>
          <w:szCs w:val="18"/>
        </w:rPr>
        <w:t xml:space="preserve">阳光电源(300274)_公司公告_阳光电源：关于回购股份事项前十名股东及前十名无限售条件股东持股情况的公告新浪财经_新浪网 — https://money.finance.sina.com.cn/corp/view/vCB_AllBulletinDetail.php?id=12479008&amp;stockid=300274&amp;utm_source=openai</w:t>
      </w:r>
    </w:p>
    <w:p>
      <w:pPr>
        <w:spacing w:after="200"/>
      </w:pPr>
      <w:r>
        <w:rPr>
          <w:i/>
          <w:iCs/>
          <w:color w:val="595959"/>
          <w:sz w:val="18"/>
          <w:szCs w:val="18"/>
        </w:rPr>
        <w:t xml:space="preserve">阳光电源_ 个股日历 _ 东方财富网_ 数据频道 — https://data.eastmoney.com/stockcalendar/300274.html?utm_source=openai</w:t>
      </w:r>
    </w:p>
    <w:p>
      <w:pPr>
        <w:spacing w:after="200"/>
      </w:pPr>
      <w:r>
        <w:rPr>
          <w:i/>
          <w:iCs/>
          <w:color w:val="595959"/>
          <w:sz w:val="18"/>
          <w:szCs w:val="18"/>
        </w:rPr>
        <w:t xml:space="preserve">阳光电源(300274)_公司公告_阳光电源：2026年半年度报告新浪财经_新浪网 — https://money.finance.sina.com.cn/corp/view/vCB_AllBulletinDetail.php?id=12570250&amp;stockid=300274&amp;utm_source=openai</w:t>
      </w:r>
    </w:p>
    <w:p>
      <w:pPr>
        <w:spacing w:after="200"/>
      </w:pPr>
      <w:r>
        <w:rPr>
          <w:i/>
          <w:iCs/>
          <w:color w:val="595959"/>
          <w:sz w:val="18"/>
          <w:szCs w:val="18"/>
        </w:rPr>
        <w:t xml:space="preserve">阳光电源(300274)股票行情走势技术分析_未来预测_买卖操作建议_英为财情Investing.com — https://cn.investing.com/equities/sungrow-power-supply-technical</w:t>
      </w:r>
    </w:p>
    <w:p>
      <w:pPr>
        <w:spacing w:after="200"/>
      </w:pPr>
      <w:r>
        <w:rPr>
          <w:i/>
          <w:iCs/>
          <w:color w:val="595959"/>
          <w:sz w:val="18"/>
          <w:szCs w:val="18"/>
        </w:rPr>
        <w:t xml:space="preserve">阳光电源(300274.SZ) 股票行情_历史数据_主力资金 - 大波浪数据 — https://www.yyqyx.com/s/300274.SZ</w:t>
      </w:r>
    </w:p>
    <w:p>
      <w:pPr>
        <w:spacing w:after="200"/>
      </w:pPr>
      <w:r>
        <w:rPr>
          <w:i/>
          <w:iCs/>
          <w:color w:val="595959"/>
          <w:sz w:val="18"/>
          <w:szCs w:val="18"/>
        </w:rPr>
        <w:t xml:space="preserve">阳光电源(300274)股东人数|股东 - 理杏仁 — https://www.lixinger.com/equity/company/detail/sz/300274/300274/shareholders/number?utm_source=openai</w:t>
      </w:r>
    </w:p>
    <w:p>
      <w:pPr>
        <w:spacing w:after="200"/>
      </w:pPr>
      <w:r>
        <w:rPr>
          <w:i/>
          <w:iCs/>
          <w:color w:val="595959"/>
          <w:sz w:val="18"/>
          <w:szCs w:val="18"/>
        </w:rPr>
        <w:t xml:space="preserve">https://static.cninfo.com.cn/finalpage/2026-08-05/1225459819.PDF — https://static.cninfo.com.cn/finalpage/2026-08-05/1225459819.PDF</w:t>
      </w:r>
    </w:p>
    <w:p>
      <w:pPr>
        <w:spacing w:after="200"/>
      </w:pPr>
      <w:r>
        <w:rPr>
          <w:i/>
          <w:iCs/>
          <w:color w:val="595959"/>
          <w:sz w:val="18"/>
          <w:szCs w:val="18"/>
        </w:rPr>
        <w:t xml:space="preserve">本报告由AI基于公开渠道信息自动检索、整理并生成，信息截至 截至2026年9月11日收盘；9月12日、13日为周末休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2026-09-13T12:56:05.659Z</dcterms:created>
  <dcterms:modified xsi:type="dcterms:W3CDTF">2026-09-13T12:56:05.659Z</dcterms:modified>
</cp:coreProperties>
</file>

<file path=docProps/custom.xml><?xml version="1.0" encoding="utf-8"?>
<Properties xmlns="http://schemas.openxmlformats.org/officeDocument/2006/custom-properties" xmlns:vt="http://schemas.openxmlformats.org/officeDocument/2006/docPropsVTypes"/>
</file>