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三诺生物传感股份有限公司（三诺生物） (300298)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行业：血糖监测与慢病POCT医疗器械</w:t>
      </w:r>
    </w:p>
    <w:p>
      <w:pPr>
        <w:jc w:val="center"/>
      </w:pPr>
      <w:r>
        <w:rPr>
          <w:color w:val="595959"/>
          <w:sz w:val="22"/>
          <w:szCs w:val="22"/>
        </w:rPr>
        <w:t xml:space="preserve">报告日期：2026年9月13日</w:t>
      </w:r>
    </w:p>
    <w:p>
      <w:pPr>
        <w:jc w:val="center"/>
      </w:pPr>
      <w:r>
        <w:rPr>
          <w:color w:val="595959"/>
          <w:sz w:val="20"/>
          <w:szCs w:val="20"/>
        </w:rPr>
        <w:t xml:space="preserve">截至2026年9月11日收盘；均线、MACD、RSI及布林带平台指标主要截至2026年9月10日，部分9月11日指标为基于公开收盘价的简化重算或定性判断。</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三诺生物主营血糖监测、CGM、慢病POCT及糖尿病数字健康管理，2026年上半年实现营业收入25.37亿元，同比增长12.08%；归母净利润2.21亿元，同比增长22.52%，扣非归母净利润同比增长32.87%，盈利修复明显。但该增长部分受2025年PTS相关商誉减值、Trividia与罗氏专利和解支出及海外产品质量事项预提成本形成的低基数影响，持续改善程度仍需后续业绩验证。</w:t>
      </w:r>
    </w:p>
    <w:p>
      <w:pPr>
        <w:spacing w:after="160" w:line="300"/>
      </w:pPr>
      <w:r>
        <w:rPr>
          <w:sz w:val="22"/>
          <w:szCs w:val="22"/>
        </w:rPr>
        <w:t xml:space="preserve">公司基本盘仍是血糖监测系统，2025年该业务收入34.70亿元，占产品收入74.47%；境内收入占55.96%，境外收入占44.04%，经销收入占77.65%。2026年上半年血糖监测系统收入同比增长13.37%，境内业务同比增长19.76%，但境外业务仅增长2.32%，显示国内增长动能较强，海外业务修复仍不均衡。</w:t>
      </w:r>
    </w:p>
    <w:p>
      <w:pPr>
        <w:spacing w:after="160" w:line="300"/>
      </w:pPr>
      <w:r>
        <w:rPr>
          <w:sz w:val="22"/>
          <w:szCs w:val="22"/>
        </w:rPr>
        <w:t xml:space="preserve">成长逻辑主要来自CGM、POCT及多指标慢病管理产品。公司于2026年9月取得H6-15s持续葡萄糖监测系统三类医疗器械注册证，产品最长使用时间15天且无需用户校准；不过注册获批尚不等同于大规模销售，二代CGM截至2026年9月尚未正式向美国FDA提交注册申请。</w:t>
      </w:r>
    </w:p>
    <w:p>
      <w:pPr>
        <w:spacing w:after="160" w:line="300"/>
      </w:pPr>
      <w:r>
        <w:rPr>
          <w:sz w:val="22"/>
          <w:szCs w:val="22"/>
        </w:rPr>
        <w:t xml:space="preserve">盈利质量和短期交易状态仍需关注：2025年毛利率由2024年的约54.88%降至约48.74%，归母净利润降至约0.93亿元；2026年上半年毛利率回升至约53.2%，但经营活动现金流同比下降13.12%。截至2026年9月11日股价为15.17元，低于短期均线及布林带下轨附近，MACD偏弱、主力资金近期净流出，市场尚未形成明确的趋势修复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300298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湖南省长沙市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2002年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血糖监测、慢病即时检测及糖尿病数字健康管理，覆盖检测设备、检测试条/试剂、数据平台和慢病服务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研究纪要前文披露为465.93亿元，营运资金部分披露为46.59亿元；结合各产品收入合计及占比，具体口径存在不一致，需以2025年年度报告为准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2025年医疗器械业务收入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465.08亿元，占营业收入99.82%；该金额与纪要其他收入数据存在口径不一致，需以2025年年度报告为准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2025年生产与销售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医疗器械产品生产量3,132.79万套，同比增长16.29%；销售量3,052.77万套，同比增长5.53%；期末库存量378.60万套，同比增长26.80%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生产研发网络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公司官网披露拥有9个全球研发与生产基地；2022年年报曾披露8大生产基地，不同年度统计口径可能存在变化</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家用医疗产品：指尖血糖监测系统、CGM、尿酸检测系统、血糖/尿酸双功能检测仪、血压计及多功能检测产品，并包括通过PTS和Trividia开展的糖化血红蛋白、血脂及血糖监测产品</w:t>
      </w:r>
    </w:p>
    <w:p>
      <w:pPr>
        <w:pStyle w:val="ListParagraph"/>
        <w:numPr>
          <w:ilvl w:val="0"/>
          <w:numId w:val="2"/>
        </w:numPr>
        <w:spacing w:after="80" w:line="280"/>
      </w:pPr>
      <w:r>
        <w:rPr>
          <w:sz w:val="22"/>
          <w:szCs w:val="22"/>
        </w:rPr>
        <w:t xml:space="preserve">等级医院专业产品：院内动态血糖监测产品、医用血糖监测产品、血糖/尿酸及血糖/血酮双功能检测产品、糖尿病管理平台、iPOCT即时检测系统和AGEscan检测仪</w:t>
      </w:r>
    </w:p>
    <w:p>
      <w:pPr>
        <w:pStyle w:val="ListParagraph"/>
        <w:numPr>
          <w:ilvl w:val="0"/>
          <w:numId w:val="2"/>
        </w:numPr>
        <w:spacing w:after="80" w:line="280"/>
      </w:pPr>
      <w:r>
        <w:rPr>
          <w:sz w:val="22"/>
          <w:szCs w:val="22"/>
        </w:rPr>
        <w:t xml:space="preserve">基层医疗专业产品：iCARE、PCH、PABA等iPOCT产品，糖化血红蛋白、尿微量白蛋白检测系统，以及面向乡镇卫生院、社区医院和诊所的多指标检测解决方案</w:t>
      </w:r>
    </w:p>
    <w:p>
      <w:pPr>
        <w:pStyle w:val="ListParagraph"/>
        <w:numPr>
          <w:ilvl w:val="0"/>
          <w:numId w:val="2"/>
        </w:numPr>
        <w:spacing w:after="80" w:line="280"/>
      </w:pPr>
      <w:r>
        <w:rPr>
          <w:sz w:val="22"/>
          <w:szCs w:val="22"/>
        </w:rPr>
        <w:t xml:space="preserve">糖尿病医疗健康服务：通过三诺健康糖尿病门诊等业务，提供糖尿病、肥胖症、高尿酸症等代谢性疾病的评估、治疗、随访、健康教育和全病程管理服务</w:t>
      </w:r>
    </w:p>
    <w:p>
      <w:pPr>
        <w:pStyle w:val="ListParagraph"/>
        <w:numPr>
          <w:ilvl w:val="0"/>
          <w:numId w:val="2"/>
        </w:numPr>
        <w:spacing w:after="80" w:line="280"/>
      </w:pPr>
      <w:r>
        <w:rPr>
          <w:sz w:val="22"/>
          <w:szCs w:val="22"/>
        </w:rPr>
        <w:t xml:space="preserve">2025年产品收入结构：血糖监测系统34.70亿元、占74.47%；糖尿病营养护理等辅助产品2.97亿元、占6.38%；糖化血红蛋白检测系统2.11亿元、占4.53%；血脂检测系统1.97亿元、占4.23%；iPOCT监测系统1.68亿元、占3.61%；血压计1.68亿元、占3.61%；经营品及其他约3.48亿元</w:t>
      </w:r>
    </w:p>
    <w:p>
      <w:pPr>
        <w:pStyle w:val="ListParagraph"/>
        <w:numPr>
          <w:ilvl w:val="0"/>
          <w:numId w:val="2"/>
        </w:numPr>
        <w:spacing w:after="80" w:line="280"/>
      </w:pPr>
      <w:r>
        <w:rPr>
          <w:sz w:val="22"/>
          <w:szCs w:val="22"/>
        </w:rPr>
        <w:t xml:space="preserve">2025年地区结构：境内收入260.74亿元、占55.96%；境外收入205.19亿元、占44.04%；境外收入同比增长10.02%，公司披露业务覆盖全球187个国家和地区</w:t>
      </w:r>
    </w:p>
    <w:p>
      <w:pPr>
        <w:pStyle w:val="ListParagraph"/>
        <w:numPr>
          <w:ilvl w:val="0"/>
          <w:numId w:val="2"/>
        </w:numPr>
        <w:spacing w:after="80" w:line="280"/>
      </w:pPr>
      <w:r>
        <w:rPr>
          <w:sz w:val="22"/>
          <w:szCs w:val="22"/>
        </w:rPr>
        <w:t xml:space="preserve">2025年销售模式：经销收入361.80亿元、占77.65%；直销收入104.13亿元、占22.35%；直销收入同比增长14.56%，经销收入同比增长2.37%</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三诺生物位于糖尿病检测产业链的中游偏下游，采购电子元器件、生物传感器材料、检测试剂、芯片、结构件及包装材料，完成血糖仪、试条、CGM传感器、糖化血红蛋白和iPOCT设备的研发、生产及注册认证，并通过经销商、药店、电商、医院、基层医疗机构及海外渠道触达消费者和专业客户。</w:t>
      </w:r>
    </w:p>
    <w:p>
      <w:pPr>
        <w:pStyle w:val="ListParagraph"/>
        <w:numPr>
          <w:ilvl w:val="0"/>
          <w:numId w:val="2"/>
        </w:numPr>
        <w:spacing w:after="80" w:line="280"/>
      </w:pPr>
      <w:r>
        <w:rPr>
          <w:sz w:val="22"/>
          <w:szCs w:val="22"/>
        </w:rPr>
        <w:t xml:space="preserve">主要投入包括血糖仪、血压计等设备所需的电子元器件、芯片、电路板、显示及通信部件，仪器外壳和结构件，包装材料，以及血糖、尿酸、血脂试条和其他检测试剂相关材料。</w:t>
      </w:r>
    </w:p>
    <w:p>
      <w:pPr>
        <w:pStyle w:val="ListParagraph"/>
        <w:numPr>
          <w:ilvl w:val="0"/>
          <w:numId w:val="2"/>
        </w:numPr>
        <w:spacing w:after="80" w:line="280"/>
      </w:pPr>
      <w:r>
        <w:rPr>
          <w:sz w:val="22"/>
          <w:szCs w:val="22"/>
        </w:rPr>
        <w:t xml:space="preserve">生物传感器相关投入包括酶、反应膜、电极、导电材料等功能材料；CGM还涉及传感器、植入或贴附组件、发射及通信组件。</w:t>
      </w:r>
    </w:p>
    <w:p>
      <w:pPr>
        <w:pStyle w:val="ListParagraph"/>
        <w:numPr>
          <w:ilvl w:val="0"/>
          <w:numId w:val="2"/>
        </w:numPr>
        <w:spacing w:after="80" w:line="280"/>
      </w:pPr>
      <w:r>
        <w:rPr>
          <w:sz w:val="22"/>
          <w:szCs w:val="22"/>
        </w:rPr>
        <w:t xml:space="preserve">公司年报主要按原材料、工资及福利费、制造费用、委托加工费分类，未完整披露电子元器件、酶、电极、传感膜等具体采购金额，上述细分投入是基于产品结构的产业链归类，不代表公司正式披露的采购比例。</w:t>
      </w:r>
    </w:p>
    <w:p>
      <w:pPr>
        <w:pStyle w:val="ListParagraph"/>
        <w:numPr>
          <w:ilvl w:val="0"/>
          <w:numId w:val="2"/>
        </w:numPr>
        <w:spacing w:after="80" w:line="280"/>
      </w:pPr>
      <w:r>
        <w:rPr>
          <w:sz w:val="22"/>
          <w:szCs w:val="22"/>
        </w:rPr>
        <w:t xml:space="preserve">2025年血糖监测系统营业成本为16.72亿元，其中原材料10.58亿元、占63.27%；工资及福利费2.60亿元、占15.56%；制造费用2.99亿元、占17.90%；委托加工费0.55亿元、占3.27%。</w:t>
      </w:r>
    </w:p>
    <w:p>
      <w:pPr>
        <w:pStyle w:val="ListParagraph"/>
        <w:numPr>
          <w:ilvl w:val="0"/>
          <w:numId w:val="2"/>
        </w:numPr>
        <w:spacing w:after="80" w:line="280"/>
      </w:pPr>
      <w:r>
        <w:rPr>
          <w:sz w:val="22"/>
          <w:szCs w:val="22"/>
        </w:rPr>
        <w:t xml:space="preserve">2024年血糖监测系统原材料成本占比为70.31%，2025年降至63.27%；制造费用占比由8.78%升至17.90%，年报说明制造费用增加部分受到美国子公司Trividia与罗氏达成交叉专利许可事项影响。</w:t>
      </w:r>
    </w:p>
    <w:p>
      <w:pPr>
        <w:pStyle w:val="ListParagraph"/>
        <w:numPr>
          <w:ilvl w:val="0"/>
          <w:numId w:val="2"/>
        </w:numPr>
        <w:spacing w:after="80" w:line="280"/>
      </w:pPr>
      <w:r>
        <w:rPr>
          <w:sz w:val="22"/>
          <w:szCs w:val="22"/>
        </w:rPr>
        <w:t xml:space="preserve">2025年度前五大供应商采购金额为2.47亿元，占年度采购总额13.10%，且不存在关联方采购。该数据表明整体采购未明显依赖少数供应商，但年报未披露芯片、生物酶、传感器材料等关键材料的单独供应商集中度。</w:t>
      </w:r>
    </w:p>
    <w:p>
      <w:pPr>
        <w:pStyle w:val="ListParagraph"/>
        <w:numPr>
          <w:ilvl w:val="0"/>
          <w:numId w:val="2"/>
        </w:numPr>
        <w:spacing w:after="80" w:line="280"/>
      </w:pPr>
      <w:r>
        <w:rPr>
          <w:sz w:val="22"/>
          <w:szCs w:val="22"/>
        </w:rPr>
        <w:t xml:space="preserve">公司对普通电子元件、包装及一般结构件的议价能力可能主要来自规模采购和多供应商体系；对于高性能传感器材料、专用芯片、特定试剂及海外合规供应商，替代能力和议价能力缺乏充分披露，不能认定公司在所有上游环节均具有较强议价权。</w:t>
      </w:r>
    </w:p>
    <w:p>
      <w:pPr>
        <w:pStyle w:val="ListParagraph"/>
        <w:numPr>
          <w:ilvl w:val="0"/>
          <w:numId w:val="2"/>
        </w:numPr>
        <w:spacing w:after="80" w:line="280"/>
      </w:pPr>
      <w:r>
        <w:rPr>
          <w:sz w:val="22"/>
          <w:szCs w:val="22"/>
        </w:rPr>
        <w:t xml:space="preserve">下游客户包括家庭消费者、药店和零售终端、电商平台、医院及院内检验科和内分泌科、基层卫生院和社区医院、诊所，以及海外医疗器械经销商和零售渠道。</w:t>
      </w:r>
    </w:p>
    <w:p>
      <w:pPr>
        <w:pStyle w:val="ListParagraph"/>
        <w:numPr>
          <w:ilvl w:val="0"/>
          <w:numId w:val="2"/>
        </w:numPr>
        <w:spacing w:after="80" w:line="280"/>
      </w:pPr>
      <w:r>
        <w:rPr>
          <w:sz w:val="22"/>
          <w:szCs w:val="22"/>
        </w:rPr>
        <w:t xml:space="preserve">2025年经销收入占77.65%，直销收入占22.35%，公司仍较大程度依赖经销商、药店和区域渠道网络；直销收入增速高于经销收入，医院、线上平台和专业市场的重要性有所提升。</w:t>
      </w:r>
    </w:p>
    <w:p>
      <w:pPr>
        <w:pStyle w:val="ListParagraph"/>
        <w:numPr>
          <w:ilvl w:val="0"/>
          <w:numId w:val="2"/>
        </w:numPr>
        <w:spacing w:after="80" w:line="280"/>
      </w:pPr>
      <w:r>
        <w:rPr>
          <w:sz w:val="22"/>
          <w:szCs w:val="22"/>
        </w:rPr>
        <w:t xml:space="preserve">2025年度前五大客户销售金额为9.59亿元，占年度销售总额20.59%；第一大客户占7.11%，前五大客户均不存在关联方销售。该数据为2025年度单年披露数据，客户集中度变化趋势尚未充分交叉核实，具体以公司后续年度报告为准。</w:t>
      </w:r>
    </w:p>
    <w:p>
      <w:pPr>
        <w:pStyle w:val="ListParagraph"/>
        <w:numPr>
          <w:ilvl w:val="0"/>
          <w:numId w:val="2"/>
        </w:numPr>
        <w:spacing w:after="80" w:line="280"/>
      </w:pPr>
      <w:r>
        <w:rPr>
          <w:sz w:val="22"/>
          <w:szCs w:val="22"/>
        </w:rPr>
        <w:t xml:space="preserve">家用零售市场主要竞争因素为品牌、渠道、产品价格和试条复购率；公司可通过低价仪器、耗材复购和品牌渠道形成一定用户黏性，但面临鱼跃、可孚及海外品牌的价格竞争。</w:t>
      </w:r>
    </w:p>
    <w:p>
      <w:pPr>
        <w:pStyle w:val="ListParagraph"/>
        <w:numPr>
          <w:ilvl w:val="0"/>
          <w:numId w:val="2"/>
        </w:numPr>
        <w:spacing w:after="80" w:line="280"/>
      </w:pPr>
      <w:r>
        <w:rPr>
          <w:sz w:val="22"/>
          <w:szCs w:val="22"/>
        </w:rPr>
        <w:t xml:space="preserve">医院市场更重视准入、注册证、临床认可、招投标、产品性能、准确性和售后服务；基层市场更重视价格、操作简便性、检测速度、设备维护和整体解决方案能力。</w:t>
      </w:r>
    </w:p>
    <w:p>
      <w:pPr>
        <w:pStyle w:val="ListParagraph"/>
        <w:numPr>
          <w:ilvl w:val="0"/>
          <w:numId w:val="2"/>
        </w:numPr>
        <w:spacing w:after="80" w:line="280"/>
      </w:pPr>
      <w:r>
        <w:rPr>
          <w:sz w:val="22"/>
          <w:szCs w:val="22"/>
        </w:rPr>
        <w:t xml:space="preserve">海外市场需要承担不同国家的注册、质量体系、专利、渠道和合规成本，海外经销商及大型医疗器械客户的议价能力通常强于普通零售消费者。</w:t>
      </w:r>
    </w:p>
    <w:p>
      <w:pPr>
        <w:pStyle w:val="ListParagraph"/>
        <w:numPr>
          <w:ilvl w:val="0"/>
          <w:numId w:val="2"/>
        </w:numPr>
        <w:spacing w:after="80" w:line="280"/>
      </w:pPr>
      <w:r>
        <w:rPr>
          <w:sz w:val="22"/>
          <w:szCs w:val="22"/>
        </w:rPr>
        <w:t xml:space="preserve">公司在中国血糖仪零售市场份额长期维持在50%以上，并覆盖超过40万家药店、4,000家等级医院和1万多家社区医院及乡镇医院；上述份额和覆盖数据为公司自披露口径，未通过第三方独立数据库完全交叉验证。</w:t>
      </w:r>
    </w:p>
    <w:p>
      <w:pPr>
        <w:pStyle w:val="ListParagraph"/>
        <w:numPr>
          <w:ilvl w:val="0"/>
          <w:numId w:val="2"/>
        </w:numPr>
        <w:spacing w:after="80" w:line="280"/>
      </w:pPr>
      <w:r>
        <w:rPr>
          <w:sz w:val="22"/>
          <w:szCs w:val="22"/>
        </w:rPr>
        <w:t xml:space="preserve">公司处于BGM、CGM和多指标POCT等市场的竞争之中。BGM市场产品技术相对成熟、仪器价格竞争明显，试条具有持续复购属性；CGM市场则更重视传感器寿命、准确性、算法、佩戴舒适性、注册认证和全球合规能力。</w:t>
      </w:r>
    </w:p>
    <w:p>
      <w:pPr>
        <w:pStyle w:val="ListParagraph"/>
        <w:numPr>
          <w:ilvl w:val="0"/>
          <w:numId w:val="2"/>
        </w:numPr>
        <w:spacing w:after="80" w:line="280"/>
      </w:pPr>
      <w:r>
        <w:rPr>
          <w:sz w:val="22"/>
          <w:szCs w:val="22"/>
        </w:rPr>
        <w:t xml:space="preserve">截至2025年末，应收账款账面余额约6.20亿元；按纪要采用的2025年营业收入约46.59亿元计算，应收账款约相当于年度收入的13.31%；期末存货账面价值约7.60亿元、约相当于年度收入的16.32%。按2024年末和2025年末应收账款平均余额及2025年营业收入粗略计算，应收账款周转天数约45天，该指标为基于年末数据的估算，并非年报直接披露的标准周转天数。2025年应收账款较2024年明显增加，主要与CGM和线上渠道销售收入增长有关；库存增长较快，期末库存量同比增长26.80%，高于销售量5.53%，需关注新产品放量、海外渠道备货及CGM库存消化。</w:t>
      </w:r>
    </w:p>
    <w:p>
      <w:pPr>
        <w:pStyle w:val="ListParagraph"/>
        <w:numPr>
          <w:ilvl w:val="0"/>
          <w:numId w:val="2"/>
        </w:numPr>
        <w:spacing w:after="80" w:line="280"/>
      </w:pPr>
      <w:r>
        <w:rPr>
          <w:sz w:val="22"/>
          <w:szCs w:val="22"/>
        </w:rPr>
        <w:t xml:space="preserve">2025年度前五大供应商采购占比13.10%，前五大客户销售占比20.59%，第一大客户占7.11%；相关数据均为2025年单年度披露，客户和供应商名称部分匿名，连续多年变化趋势尚未充分核实。应收账款占收入比例不高，但库存增长快于销售，产业链议价关系仍需结合后续回款、库存和渠道数据观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约52.89%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约11.30%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传统血糖监测业务占主导，国内零售渠道和试条耗材复购带来较高毛利，整体盈利能力较强。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约53.54%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约7.01%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毛利率小幅提升；并表美国Trividia后，运营、研发、市场推广及商誉减值压力增加，净利率明显下降。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约54.88%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约7.34%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收入渠道结构改善和新产品成本优化推动毛利率提升，血糖监测系统毛利率达到60.18%；销售、研发、海外业务及并购整合费用仍限制净利率提升。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约48.74%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海外业务成本上升、Trividia与罗氏专利许可相关影响、产品及合规成本增加、海外竞争及PTS商誉减值共同压低利润；血糖监测系统毛利率降至51.80%。</w:t>
            </w:r>
          </w:p>
        </w:tc>
      </w:tr>
    </w:tbl>
    <w:p>
      <w:pPr>
        <w:spacing w:before="200"/>
      </w:pPr>
    </w:p>
    <w:p>
      <w:pPr>
        <w:spacing w:after="160" w:line="300"/>
      </w:pPr>
      <w:r>
        <w:rPr>
          <w:sz w:val="22"/>
          <w:szCs w:val="22"/>
        </w:rPr>
        <w:t xml:space="preserve">三诺生物不是上游资源型企业，而是以品牌、传感器技术、规模制造、注册认证和渠道网络为壁垒的中游医疗器械平台型公司，整体处于中游偏下游。传统BGM业务凭借品牌、渠道和试条复购形成较好的盈利基础，但公司仍受上游部分核心材料和专用器件替代性不足、下游经销及海外客户议价、海外合规成本等因素影响。未来利润改善主要取决于CGM放量、产品结构升级、海外业务盈利修复、制造成本控制，以及多指标POCT和数字化慢病管理业务规模化。</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46.5934亿元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同比增长4.87%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归母净利润约0.93亿元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同比下降71.61%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25.3704亿元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同比增长12.08%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归母净利润2.2134亿元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同比增长22.52%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约12.98亿元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同比增长约6.18%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归母净利润约1.24亿元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同比增长约13.92%</w:t>
            </w:r>
          </w:p>
        </w:tc>
      </w:tr>
    </w:tbl>
    <w:p>
      <w:pPr>
        <w:spacing w:after="200"/>
      </w:pPr>
      <w:r>
        <w:rPr>
          <w:i/>
          <w:iCs/>
          <w:color w:val="595959"/>
          <w:sz w:val="18"/>
          <w:szCs w:val="18"/>
        </w:rPr>
        <w:t xml:space="preserve">2026年上半年数据截至2026年6月30日，公告披露日期为2026年8月4日。2026年上半年扣非归母净利润为2.1030亿元，同比增长32.87%；经营活动产生的现金流量净额为2.3749亿元，同比下降13.12%；基本每股收益为0.4096元，加权平均净资产收益率为7.02%。金额单位为人民币。</w:t>
      </w:r>
    </w:p>
    <w:p>
      <w:pPr>
        <w:spacing w:after="160" w:line="300"/>
      </w:pPr>
      <w:r>
        <w:rPr>
          <w:sz w:val="22"/>
          <w:szCs w:val="22"/>
        </w:rPr>
        <w:t xml:space="preserve">2026年上半年收入和利润均实现增长，扣非归母净利润增速高于营业收入增速，盈利能力有所改善。上半年毛利率约53.2%，同比提升约1.3个百分点；销售费用率约27.8%，同比上升约0.8个百分点；管理费用率约8.7%，同比下降约0.9个百分点；研发费用率约4.9%，同比下降约1.5个百分点。业务方面，血糖类监测系统收入约18.81亿元，同比增长13.37%；即时检测POCT产品收入约4.31亿元，同比增长10.56%；境内业务收入约15.17亿元，同比增长19.76%；境外业务收入约10.20亿元，同比增长2.32%。2025年归母净利润下滑主要受PTS相关商誉减值、Trividia与罗氏专利和解支出，以及海外产品质量及说明书事项相关预提成本等一次性因素影响，因此2026年利润增长存在低基数效应。</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10日，同花顺盈利预测页面显示，近6个月共有16家机构对2026年度业绩进行预测，15家机构对2028年度进行预测。上述预测来自机构研报摘录或平台汇总，并非公司正式指引；不同机构预测存在差异，尤其是2028年收入和净利润预测不确定性较高。</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2026年机构一致预测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约50亿元上下；综合代表性预测约50.9—53.3亿元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均值约3.95亿元，区间约3.56亿至4.54亿元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相较2025年归母净利润约0.93亿元，机构预测同比增幅约327%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均值约0.71元，区间约0.64至0.82元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2027年机构一致预测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综合代表性预测约56.0—61.0亿元；同花顺一致预测收入数据不完整</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均值约4.87亿元，区间约4.41亿至5.63亿元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同花顺纪要未披露一致预测同比增速；综合代表性预测归母净利润约4.6—5.0亿元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均值约0.87元，区间约0.79至1.01元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2028年机构一致预测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综合代表性预测约61.6—69.3亿元；同花顺一致预测收入数据不完整</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均值约5.83亿元，区间约5.25亿至6.80亿元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同花顺纪要未披露一致预测同比增速；综合代表性预测归母净利润约5.3—6.1亿元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均值约1.04元，区间约0.94至1.22元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财信证券预测（2026—2028年）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2026年51.02亿元；2027年56.00亿元；2028年61.63亿元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2026年4.09亿元；2027年4.99亿元；2028年5.95亿元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未完整披露同比增速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2026年0.73元；2027年0.90元；2028年1.07元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华泰证券预测（2026—2028年）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公开摘要未完整列示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2026年3.89亿元；2027年4.63亿元；2028年5.34亿元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2026年0.70元；2027年0.83元；2028年0.96元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国金证券预测（2026—2028年）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2026年4.05亿元；2027年4.99亿元；2028年6.09亿元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约338%、23%、22%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中金公司预测（2026—2027年）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2026年4.03亿元；2027年4.88亿元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2026年约0.72元；2027年约0.87元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目标价23.30元；上调2026年归母净利润预测至4.03亿元、2027年预测至4.88亿元。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目标价22.34元，基于2026年32倍PE估值。</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目标价23.00元。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目标价21.00元。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公开摘要披露目标价缺失。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公开摘要未见明确目标价。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公开摘要未见明确目标价。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富途汇总分析师评级</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强力推荐约75%，买入约25%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截至2026年8月中旬</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近三个月20位分析师评级中未显示持有、跑输大盘或卖出；目标价平均约22.21元，最高23.30元，最低21.00元。</w:t>
            </w:r>
          </w:p>
        </w:tc>
      </w:tr>
    </w:tbl>
    <w:p>
      <w:pPr>
        <w:spacing w:before="200"/>
      </w:pPr>
    </w:p>
    <w:p>
      <w:pPr>
        <w:spacing w:after="160" w:line="300"/>
      </w:pPr>
      <w:r>
        <w:rPr>
          <w:sz w:val="22"/>
          <w:szCs w:val="22"/>
        </w:rPr>
        <w:t xml:space="preserve">截至2026年9月11日收盘，股价为15.17元，52周价格区间约13.37—21.10元，总市值约84.5亿元。Yahoo Finance数据显示TTM EPS约0.25元、TTM市盈率约60.5倍、总市值约84.25亿元；按约5.57亿股总股本计算，静态市值约84.5亿元，按TTM EPS计算PE约60.7倍。不同平台数据显示估值存在差异：理杏仁截至2026年9月9日显示PE约64.94倍、PB约2.93倍，PE-TTM历史分位约82%；同花顺截至2026年8月21日显示PE-TTM约67.03倍，历史分位约70.2%。按机构一致预测净利润计算，2026—2028年动态PE约21.4倍、17.3倍和14.5倍。按已公开目标价统计，目标价区间约21.00—23.30元，中位数约23.00元；相较15.17元收盘价，潜在涨幅约38%—54%，但目标价不代表未来必然达到。整体看，公司当前TTM估值处于历史中高区间，前瞻估值能否快速下降取决于CGM业务持续放量、海外子公司盈利改善及一次性费用不再重复发生。主要不确定性包括CGM市场竞争加剧、海外注册和销售不及预期、Trividia及PTS盈利改善不持续、销售费用率维持高位，以及海外诉讼或产品质量事项再次发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取得H6-15s持续葡萄糖监测系统三类医疗器械注册证</w:t>
      </w:r>
    </w:p>
    <w:p>
      <w:pPr>
        <w:spacing w:after="160" w:line="300"/>
      </w:pPr>
      <w:r>
        <w:rPr>
          <w:sz w:val="22"/>
          <w:szCs w:val="22"/>
        </w:rPr>
        <w:t xml:space="preserve">2026年9月8日，公司披露《关于取得医疗器械注册证暨医疗器械注册变更的公告》。公司新获批一项三类医疗器械注册证，产品名称为持续葡萄糖监测系统，型号规格为H6-15s，注册证编号为国械注准20263071874，有效期为2026年9月4日至2031年9月3日。产品适用于2岁及以上糖尿病患者，可连续或定期监测组织液葡萄糖水平，无需用户校准，最长使用时间15天，可在医疗机构和家庭环境中使用。此外，另一项三类持续葡萄糖监测系统完成注册变更，另有8项二类医疗器械完成延续注册、3项二类医疗器械完成变更注册。上述注册事项不等同于已经形成大规模销售收入，产品商业化进度及对未来业绩的影响存在不确定性。来源：https://money.finance.sina.com.cn/corp/view/vCB_AllBulletinDetail.php?id=12588418&amp;stockid=300298&amp;utm_source=openai</w:t>
      </w:r>
    </w:p>
    <w:p>
      <w:pPr>
        <w:pStyle w:val="Heading2"/>
        <w:spacing w:after="120" w:before="240"/>
      </w:pPr>
      <w:r>
        <w:rPr>
          <w:b/>
          <w:bCs/>
          <w:color w:val="2E74B5"/>
          <w:sz w:val="24"/>
          <w:szCs w:val="24"/>
        </w:rPr>
        <w:t xml:space="preserve">4.2 股份回购累计金额约1.49亿元，接近回购金额下限</w:t>
      </w:r>
    </w:p>
    <w:p>
      <w:pPr>
        <w:spacing w:after="160" w:line="300"/>
      </w:pPr>
      <w:r>
        <w:rPr>
          <w:sz w:val="22"/>
          <w:szCs w:val="22"/>
        </w:rPr>
        <w:t xml:space="preserve">2026年9月2日，公司披露《关于回购公司股份的进展公告》。公司回购方案经2026年3月27日董事会及2026年4月13日临时股东会审议通过，计划在股东会审议通过之日起12个月内回购股份，用于注销并减少注册资本。回购资金总额不低于1.5亿元、不超过3亿元，回购价格上限为25元/股。截至2026年8月31日，公司已回购9,176,644股，占当前总股本的1.65%；最高成交价17.10元/股，最低成交价14.19元/股，成交总金额149,024,338.74元，不含交易费用。按1.5亿元下限计算，已完成约99.35%；按3亿元上限计算，已完成约49.67%。公司后续将根据市场情况和资金统筹节奏继续实施回购计划。来源：https://money.finance.sina.com.cn/corp/view/vCB_AllBulletinDetail.php?id=12579014&amp;stockid=300298&amp;utm_source=openai</w:t>
      </w:r>
    </w:p>
    <w:p>
      <w:pPr>
        <w:pStyle w:val="Heading2"/>
        <w:spacing w:after="120" w:before="240"/>
      </w:pPr>
      <w:r>
        <w:rPr>
          <w:b/>
          <w:bCs/>
          <w:color w:val="2E74B5"/>
          <w:sz w:val="24"/>
          <w:szCs w:val="24"/>
        </w:rPr>
        <w:t xml:space="preserve">4.3 二代CGM尚未向美国FDA正式提交注册申请</w:t>
      </w:r>
    </w:p>
    <w:p>
      <w:pPr>
        <w:spacing w:after="160" w:line="300"/>
      </w:pPr>
      <w:r>
        <w:rPr>
          <w:sz w:val="22"/>
          <w:szCs w:val="22"/>
        </w:rPr>
        <w:t xml:space="preserve">根据公司2026年9月2日投资者关系活动记录，截至2026年9月2日，公司二代CGM产品美国注册的筹备工作仍在推进，尚未向美国FDA正式提交注册申请。公司正在结合一代CGM产品FDA注册反馈及审核要求，继续完善预临床研究、算法验证及相关试验设计，并需综合考虑公司与雅培在欧洲的专利诉讼影响。公司未披露明确的FDA正式申报日期或商业化时间表，因此美国市场商业化时间存在不确定性。来源：https://money.finance.sina.com.cn/corp/view/vCB_AllBulletinDetail.php?id=12581038&amp;stockid=300298&amp;utm_source=openai</w:t>
      </w:r>
    </w:p>
    <w:p>
      <w:pPr>
        <w:pStyle w:val="Heading2"/>
        <w:spacing w:after="120" w:before="240"/>
      </w:pPr>
      <w:r>
        <w:rPr>
          <w:b/>
          <w:bCs/>
          <w:color w:val="2E74B5"/>
          <w:sz w:val="24"/>
          <w:szCs w:val="24"/>
        </w:rPr>
        <w:t xml:space="preserve">4.4 2026年半年度报告：收入和利润保持增长</w:t>
      </w:r>
    </w:p>
    <w:p>
      <w:pPr>
        <w:spacing w:after="160" w:line="300"/>
      </w:pPr>
      <w:r>
        <w:rPr>
          <w:sz w:val="22"/>
          <w:szCs w:val="22"/>
        </w:rPr>
        <w:t xml:space="preserve">公司于2026年8月4日披露2026年半年度报告。2026年上半年实现营业收入25.3704亿元，同比增长12.08%；归属于上市公司股东的净利润2.2134亿元，同比增长22.52%；扣除非经常性损益后的归母净利润2.1030亿元，同比增长32.87%；经营活动产生的现金流量净额2.3749亿元，同比下降13.12%。分业务看，血糖监测系统收入约18.81亿元，即时检测POCT产品收入约4.31亿元，辅助产品及其他收入约2.25亿元。分地区看，境内业务收入约15.17亿元，同比增长约19.76%；境外业务收入约10.20亿元，同比增长约2.32%。截至2026年6月30日，回购专用证券账户累计持有公司股份23,602,905股，占当时总股本的4.24%；公司2026年中期不派发现金红利、不送红股、不以公积金转增股本。来源：https://money.finance.sina.com.cn/corp/view/vCB_AllBulletinDetail.php?id=12475295&amp;stockid=300298&amp;utm_source=openai</w:t>
      </w:r>
    </w:p>
    <w:p>
      <w:pPr>
        <w:pStyle w:val="Heading2"/>
        <w:spacing w:after="120" w:before="240"/>
      </w:pPr>
      <w:r>
        <w:rPr>
          <w:b/>
          <w:bCs/>
          <w:color w:val="2E74B5"/>
          <w:sz w:val="24"/>
          <w:szCs w:val="24"/>
        </w:rPr>
        <w:t xml:space="preserve">4.5 公司决定不向下修正“三诺转债”转股价格</w:t>
      </w:r>
    </w:p>
    <w:p>
      <w:pPr>
        <w:spacing w:after="160" w:line="300"/>
      </w:pPr>
      <w:r>
        <w:rPr>
          <w:sz w:val="22"/>
          <w:szCs w:val="22"/>
        </w:rPr>
        <w:t xml:space="preserve">2026年8月4日，公司披露《关于不向下修正三诺转债转股价格的公告》。公司股票在2026年7月14日至2026年8月3日期间触发“三诺转债”转股价格向下修正条款，相关当期转股价格为34.52元/股，触发标准对应价格为27.62元/股。公司董事会于2026年8月3日决定本次不向下修正转股价格，并明确自2026年8月4日至2026年12月20日期间，如再次触发向下修正条件，公司也不提出向下修正方案。来源：https://bond.stockstar.com/SN2026080300033299.shtml?utm_source=openai</w:t>
      </w:r>
    </w:p>
    <w:p>
      <w:pPr>
        <w:pStyle w:val="Heading2"/>
        <w:spacing w:after="120" w:before="240"/>
      </w:pPr>
      <w:r>
        <w:rPr>
          <w:b/>
          <w:bCs/>
          <w:color w:val="2E74B5"/>
          <w:sz w:val="24"/>
          <w:szCs w:val="24"/>
        </w:rPr>
        <w:t xml:space="preserve">4.6 参加湖南辖区上市公司投资者网上集体接待日</w:t>
      </w:r>
    </w:p>
    <w:p>
      <w:pPr>
        <w:spacing w:after="160" w:line="300"/>
      </w:pPr>
      <w:r>
        <w:rPr>
          <w:sz w:val="22"/>
          <w:szCs w:val="22"/>
        </w:rPr>
        <w:t xml:space="preserve">公司于2026年8月27日披露公告，计划参加由湖南证监局、湖南省上市公司协会和全景网络联合举办的投资者网上集体接待日暨半年度业绩说明会，活动于2026年9月2日举行。公司拟就2025年至2026年半年度业绩、公司治理、发展战略、经营状况、融资计划、股权激励和可持续发展等问题与投资者交流。相关投资者关系活动记录表于2026年9月2日披露，并涉及回购进度及二代CGM美国注册进展等内容。来源：https://vip.stock.finance.sina.com.cn/corp/view/vCB_AllBulletinDetail.php?id=12558029&amp;stockid=300298&amp;utm_source=openai</w:t>
      </w:r>
    </w:p>
    <w:p>
      <w:pPr>
        <w:pStyle w:val="Heading2"/>
        <w:spacing w:after="120" w:before="240"/>
      </w:pPr>
      <w:r>
        <w:rPr>
          <w:b/>
          <w:bCs/>
          <w:color w:val="2E74B5"/>
          <w:sz w:val="24"/>
          <w:szCs w:val="24"/>
        </w:rPr>
        <w:t xml:space="preserve">4.7 截至2026年9月12日未发现2026年前三季度业绩预告</w:t>
      </w:r>
    </w:p>
    <w:p>
      <w:pPr>
        <w:spacing w:after="160" w:line="300"/>
      </w:pPr>
      <w:r>
        <w:rPr>
          <w:sz w:val="22"/>
          <w:szCs w:val="22"/>
        </w:rPr>
        <w:t xml:space="preserve">截至2026年9月12日，研究纪要称未检索到公司针对2026年前三季度发布正式业绩预告、业绩预增公告或业绩预减公告。目前可确认的最新正式业绩数据为2026年半年度报告，报告期为2026年1月1日至2026年6月30日，不能将上半年业绩增速直接外推为全年或前三季度业绩预测。</w:t>
      </w:r>
    </w:p>
    <w:p>
      <w:pPr>
        <w:pStyle w:val="Heading2"/>
        <w:spacing w:after="120" w:before="240"/>
      </w:pPr>
      <w:r>
        <w:rPr>
          <w:b/>
          <w:bCs/>
          <w:color w:val="2E74B5"/>
          <w:sz w:val="24"/>
          <w:szCs w:val="24"/>
        </w:rPr>
        <w:t xml:space="preserve">4.8 股东增减持及质押信息：未发现9月新增相关公告</w:t>
      </w:r>
    </w:p>
    <w:p>
      <w:pPr>
        <w:spacing w:after="160" w:line="300"/>
      </w:pPr>
      <w:r>
        <w:rPr>
          <w:sz w:val="22"/>
          <w:szCs w:val="22"/>
        </w:rPr>
        <w:t xml:space="preserve">截至2026年9月12日，未检索到2026年9月新披露的控股股东增持、减持或股份质押变动公告。截至2026年9月4日的第三方F10数据汇总显示，控股股东李少波质押股份约7652万股，占公司总股本约13.74%，占其持有股份约53.63%；本次检索未找到对应的9月最新公司单独公告，该数据仅作为辅助信息使用。公司2026年半年度报告披露，截至2026年6月30日，回购专用证券账户累计持有公司股份23,602,905股，占期末总股本4.24%。质押比例及持股比例可能因可转债转股、回购注销及股本变化而变化，应以公司后续正式公告和中国结算数据为准。来源：https://basic.10jqka.com.cn/300298/?utm_source=openai</w:t>
      </w:r>
    </w:p>
    <w:p>
      <w:pPr>
        <w:pStyle w:val="Heading2"/>
        <w:spacing w:after="120" w:before="240"/>
      </w:pPr>
      <w:r>
        <w:rPr>
          <w:b/>
          <w:bCs/>
          <w:color w:val="2E74B5"/>
          <w:sz w:val="24"/>
          <w:szCs w:val="24"/>
        </w:rPr>
        <w:t xml:space="preserve">4.9 未发现近期重大监管处罚及并购事项</w:t>
      </w:r>
    </w:p>
    <w:p>
      <w:pPr>
        <w:spacing w:after="160" w:line="300"/>
      </w:pPr>
      <w:r>
        <w:rPr>
          <w:sz w:val="22"/>
          <w:szCs w:val="22"/>
        </w:rPr>
        <w:t xml:space="preserve">截至2026年9月12日，未检索到公司在2026年9月因信息披露违规、监管处罚、问询函或监管措施而发布的重大公告。公司2026年半年度报告披露，报告期内未发生资产或股权收购、出售的重大关联交易。截至2026年9月12日，未发现公司在2026年8月至9月新披露重大并购、资产收购或股权出售事项。近期与公司直接相关的政策敏感点主要包括医疗器械注册审批、CGM产品商业化、医保及不同国家医疗支付体系覆盖情况，公司提示不同国家、地区及医保类型的覆盖政策可能存在差异。</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300298，三诺生物</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下跌0.31元，跌幅2.00%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15.42元/15.10元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约290万股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约4,400万元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约0.55%—0.58%，不同数据源口径略有差异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按总股本约5.568亿股及收盘价粗略计算，约84—85亿元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不同平台口径约60—65倍，不宜使用单一精确值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前复权口径约21.10元/13.37元；部分平台显示高点20.88元，存在复权及统计窗口口径差异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截至2026年9月10日分别为15.75元、15.85元、15.99元；基于近20个交易日公开收盘价简化重算，9月11日约为15.58元、15.76元、15.93元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9月11日收盘价15.17元继续低于5日、10日和20日均线，短期价格处于均线压制状态，较9月10日进一步转弱。简化重算结果可能与平台前复权或不同交易日窗口口径存在差异。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截至2026年9月10日，DIF为-0.07、DEA为0.02、MACD柱为-0.17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DIF低于DEA，MACD柱位于零轴下方，属于偏弱或死叉结构。9月11日下跌未形成明显修复，但因缺少完整历史K线序列，无法严谨给出9月11日收盘后的精确指标。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截至2026年9月10日，RSI6为31.5、RSI12为40.2、RSI24为46.3；9月11日RSI6基于近期收盘价简化重算约为27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RSI6接近或可能进入传统超卖区间，短线存在技术性反抽条件；RSI12和RSI24处于中性偏弱区间，尚未显示中期极端超卖。简化重算值与平台完整历史序列及平滑算法可能存在差异。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截至2026年9月10日，上轨16.48元、中轨15.99元、下轨15.50元；基于公开近20个交易日收盘价估算，9月11日前后中轨约15.93元、上轨约16.49元、下轨约15.36元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9月10日收盘价已略低于下轨，9月11日收盘价进一步低于前一日下轨，显示短线价格处于布林带下轨外侧，弱势及波动风险偏高；若持续在下轨外运行并伴随成交额放大，需关注下行延续。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截至2026年9月10日，最近10个交易日主力资金合计净流出约1,711万元，其中2天净流入、8天净流出，最近2个交易日连续净流出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主力资金数据是成交单大小结构的代理指标，不等同于机构持仓变化。结合股价跌破多条均线，短线暂未显示明显主动承接信号。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最近20个交易日单日成交额约3,900万元至1.41亿元；最近5个交易日约3,970万元、5,410万元、4,737万元、6,252万元和约4,400万元，平均约4,950万元；最近交易日换手率约0.55%—0.58%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9月初以来成交额多数回落至约4,000万—6,000万元，整体更接近低换手、弱势调整状态。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截至2026年3月31日，前十大流通股东合计持有流通股约49.81%；截至2026年6月30日，同花顺披露117家主力机构合计持股约4,942.78万股，占流通A股11.03%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集中度较高，控股家族及自然人股东占比较大，同时存在香港中央结算有限公司及华宝中证医疗ETF等机构或准机构持仓。上述数据存在季度级时滞，不能直接代表2026年9月实时筹码结构，也无法据此判断近期机构增减持。</w:t>
            </w:r>
          </w:p>
        </w:tc>
      </w:tr>
    </w:tbl>
    <w:p>
      <w:pPr>
        <w:spacing w:before="200"/>
      </w:pPr>
    </w:p>
    <w:p>
      <w:pPr>
        <w:spacing w:after="160" w:line="300"/>
      </w:pPr>
      <w:r>
        <w:rPr>
          <w:sz w:val="22"/>
          <w:szCs w:val="22"/>
        </w:rPr>
        <w:t xml:space="preserve">截至2026年9月11日，三诺生物收盘价为15.17元，连续低于MA5、MA10和MA20，MACD截至9月10日仍处于DIF低于DEA、柱体位于零轴下方的弱势结构。RSI6已接近或可能进入传统超卖区间，股价同时位于布林带下轨附近或下方，短线存在技术性反抽条件，但尚未形成趋势反转确认。最近10个交易日主力资金净流出约1,711万元，成交额和换手率整体不高，当前更接近弱势下跌后的超跌观察阶段。15.10元附近是近期直接观察位，若缩量企稳可能出现技术反抽；若放量跌破，则下方支撑需要继续下移观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15.80—16.10元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对应MA10、MA20附近及9月初以来价格密集区。若重新站上15.80元并进一步突破16.00—16.10元，短线弱势结构才可能出现一定修复。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15.30—15.50元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对应9月10日布林带下轨附近、近期成交密集区域及前期低位承接区。若重新回到15.30元上方并稳定，短线可能形成震荡修复。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15.05—15.20元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对应9月11日最低价15.10元及收盘价15.17元所在区域。若被放量有效跌破，可能打开向14.70—15.00元一带进一步寻找支撑的空间。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整理（主观启发式权重相对较高，约五成至六成；不是统计概率）：价格区间约15.10—15.85元。触发条件为15.10元附近未被放量跌破，成交额维持近期正常区间，股价在15.30—15.60元之间反复震荡。观察RSI6超卖后能否修复、主力资金净流出是否收窄，以及股价能否重新站回15.50元附近。</w:t>
      </w:r>
    </w:p>
    <w:p>
      <w:pPr>
        <w:pStyle w:val="ListParagraph"/>
        <w:numPr>
          <w:ilvl w:val="0"/>
          <w:numId w:val="2"/>
        </w:numPr>
        <w:spacing w:after="80" w:line="280"/>
      </w:pPr>
      <w:r>
        <w:rPr>
          <w:sz w:val="22"/>
          <w:szCs w:val="22"/>
        </w:rPr>
        <w:t xml:space="preserve">偏弱下行（主观启发式权重中等；不是统计概率）：价格区间约14.70—15.20元。触发条件为15.10元附近被放量跌破，单日成交额明显高于近期平均水平，且医疗器械或医药生物板块同步走弱。14.70—15.00元仅为下一观察区间，不是确定目标价。</w:t>
      </w:r>
    </w:p>
    <w:p>
      <w:pPr>
        <w:pStyle w:val="ListParagraph"/>
        <w:numPr>
          <w:ilvl w:val="0"/>
          <w:numId w:val="2"/>
        </w:numPr>
        <w:spacing w:after="80" w:line="280"/>
      </w:pPr>
      <w:r>
        <w:rPr>
          <w:sz w:val="22"/>
          <w:szCs w:val="22"/>
        </w:rPr>
        <w:t xml:space="preserve">超跌反弹（主观启发式权重偏低至中等；不是统计概率）：价格区间约15.80—16.20元。触发条件为股价先守住15.10—15.30元区域，随后重新站上15.50元，并以明显高于近期平均水平的成交额突破15.80元附近压力。若放量突破16.00—16.10元，短线反弹结构才可能进一步增强；此前仍应视为技术修复而非趋势反转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最近交易日换手率约0.55%—0.58%，最近5个交易日成交额约4,000万—6,300万元，近20个交易日成交额约3,900万元至1.41亿元。前十大流通股东合计持股49.81%的数据截至2026年3月31日，机构持仓11.03%的数据截至2026年6月30日，均存在季度级时滞，实际筹码结构可能已经变化。较高的前十大流通股东集中度意味着可交易筹码相对集中，但大股东、重要股东或机构调仓可能对价格造成阶段性影响；公开数据不足以判断近期机构是在增持还是减持。</w:t>
      </w:r>
    </w:p>
    <w:p>
      <w:pPr>
        <w:spacing w:after="160" w:line="300"/>
      </w:pPr>
      <w:r>
        <w:rPr>
          <w:sz w:val="22"/>
          <w:szCs w:val="22"/>
        </w:rPr>
        <w:t xml:space="preserve">以近期约4,950万元的5日平均成交额为参考，若未来单日成交额持续放大至约7,000万元以上，同时股价重新站上15.80元，可视为短线资金参与度改善的可检查信号；若放量但股价继续跌破15.10元，则更可能代表抛压释放，而非积极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观察15.10—15.20元区域能否出现有效承接，重点关注是否伴随异常放量。以上为观察思路，非操作指令。</w:t>
      </w:r>
    </w:p>
    <w:p>
      <w:pPr>
        <w:pStyle w:val="ListParagraph"/>
        <w:numPr>
          <w:ilvl w:val="0"/>
          <w:numId w:val="2"/>
        </w:numPr>
        <w:spacing w:after="80" w:line="280"/>
      </w:pPr>
      <w:r>
        <w:rPr>
          <w:sz w:val="22"/>
          <w:szCs w:val="22"/>
        </w:rPr>
        <w:t xml:space="preserve">观察15.30—15.50元能否重新收复并转化为短线支撑。以上为观察思路，非操作指令。</w:t>
      </w:r>
    </w:p>
    <w:p>
      <w:pPr>
        <w:pStyle w:val="ListParagraph"/>
        <w:numPr>
          <w:ilvl w:val="0"/>
          <w:numId w:val="2"/>
        </w:numPr>
        <w:spacing w:after="80" w:line="280"/>
      </w:pPr>
      <w:r>
        <w:rPr>
          <w:sz w:val="22"/>
          <w:szCs w:val="22"/>
        </w:rPr>
        <w:t xml:space="preserve">观察15.80—16.10元压力区能否在成交额放大至约7,000万元以上时被突破。以上为观察思路，非操作指令。</w:t>
      </w:r>
    </w:p>
    <w:p>
      <w:pPr>
        <w:pStyle w:val="ListParagraph"/>
        <w:numPr>
          <w:ilvl w:val="0"/>
          <w:numId w:val="2"/>
        </w:numPr>
        <w:spacing w:after="80" w:line="280"/>
      </w:pPr>
      <w:r>
        <w:rPr>
          <w:sz w:val="22"/>
          <w:szCs w:val="22"/>
        </w:rPr>
        <w:t xml:space="preserve">观察主力资金连续净流出的状态是否改善，避免仅依据RSI超卖将技术性反抽误判为趋势反转。以上为观察思路，非操作指令。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POCT具有便携、快速、操作简便和对大型检验设备依赖较低等特点，应用场景正从医院急诊、ICU等专业场景向基层医疗、社区诊所和家庭检测延伸。行业正在从单纯销售检测设备向“设备+耗材+数据+服务”的综合解决方案转型。BGM产品技术相对成熟、仪器价格竞争较明显，但试条具有持续复购属性；CGM技术壁垒更高，竞争重点包括传感器设计、稳定性、准确性、算法、佩戴舒适性、注册认证和全球合规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三诺生物产品覆盖血糖、血脂、尿酸、糖化血红蛋白、尿微量白蛋白、血酮等指标，受益于基层医疗设备配置、慢病管理和分级诊疗趋势。</w:t>
      </w:r>
    </w:p>
    <w:p>
      <w:pPr>
        <w:pStyle w:val="ListParagraph"/>
        <w:numPr>
          <w:ilvl w:val="0"/>
          <w:numId w:val="2"/>
        </w:numPr>
        <w:spacing w:after="80" w:line="280"/>
      </w:pPr>
      <w:r>
        <w:rPr>
          <w:sz w:val="22"/>
          <w:szCs w:val="22"/>
        </w:rPr>
        <w:t xml:space="preserve">BGM行业的主要竞争壁垒包括品牌、准确性、渠道和试条供应稳定性；国内企业在院外零售市场具有成本和渠道优势，海外品牌在医院、专业市场及高端市场仍具影响力。</w:t>
      </w:r>
    </w:p>
    <w:p>
      <w:pPr>
        <w:pStyle w:val="ListParagraph"/>
        <w:numPr>
          <w:ilvl w:val="0"/>
          <w:numId w:val="2"/>
        </w:numPr>
        <w:spacing w:after="80" w:line="280"/>
      </w:pPr>
      <w:r>
        <w:rPr>
          <w:sz w:val="22"/>
          <w:szCs w:val="22"/>
        </w:rPr>
        <w:t xml:space="preserve">CGM是血糖监测行业的重要增量方向，全球市场由雅培、德康医疗和美敦力等企业占据较强优势；国内市场处于渗透率提升和国产替代阶段，价格、传感器寿命、准确性、医保覆盖、医院教育和线上复购是竞争重点。</w:t>
      </w:r>
    </w:p>
    <w:p>
      <w:pPr>
        <w:pStyle w:val="ListParagraph"/>
        <w:numPr>
          <w:ilvl w:val="0"/>
          <w:numId w:val="2"/>
        </w:numPr>
        <w:spacing w:after="80" w:line="280"/>
      </w:pPr>
      <w:r>
        <w:rPr>
          <w:sz w:val="22"/>
          <w:szCs w:val="22"/>
        </w:rPr>
        <w:t xml:space="preserve">三诺生物披露“三诺爱看”CGM产品已在中国、印尼、欧盟MDR、英国、泰国等50多个国家和地区获批注册，并在90多个国家上市销售；该数据体现注册和销售覆盖范围，不等同于实际销量或市场份额。</w:t>
      </w:r>
    </w:p>
    <w:p>
      <w:pPr>
        <w:pStyle w:val="ListParagraph"/>
        <w:numPr>
          <w:ilvl w:val="0"/>
          <w:numId w:val="2"/>
        </w:numPr>
        <w:spacing w:after="80" w:line="280"/>
      </w:pPr>
      <w:r>
        <w:rPr>
          <w:sz w:val="22"/>
          <w:szCs w:val="22"/>
        </w:rPr>
        <w:t xml:space="preserve">公司优势包括传统BGM用户基础、药店和电商渠道、血糖试条复购网络及海外销售体系；CGM业务仍需持续投入研发、临床推广和市场教育，并面临雅培、德康及国内新进入者竞争。</w:t>
      </w:r>
    </w:p>
    <w:p>
      <w:pPr>
        <w:pStyle w:val="ListParagraph"/>
        <w:numPr>
          <w:ilvl w:val="0"/>
          <w:numId w:val="2"/>
        </w:numPr>
        <w:spacing w:after="80" w:line="280"/>
      </w:pPr>
      <w:r>
        <w:rPr>
          <w:sz w:val="22"/>
          <w:szCs w:val="22"/>
        </w:rPr>
        <w:t xml:space="preserve">公司自披露中国血糖仪零售市场份额长期维持在50%以上，但该数据未通过第三方独立市场份额数据库完全交叉验证，应视为公司自披露口径。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鱼跃医疗（002223）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国内综合家用医疗器械平台，覆盖呼吸制氧、血压、血糖、消毒感控等领域，并通过收购浙江凯立特切入CGM</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鱼跃优势在综合家用医疗器械平台、品牌和渠道；三诺生物优势在血糖监测专业化、试条耗材体系、海外血糖业务和慢病管理布局，双方在BGM、CGM及家用慢病检测领域直接竞争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微泰医疗（02235）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聚焦糖尿病管理，覆盖CGM、胰岛素泵及糖尿病管理软件平台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微泰医疗在CGM与胰岛素泵联动、糖尿病治疗闭环方面更具特色；三诺生物在传统BGM规模、家用渠道、全球化销售和多指标POCT方面更有基础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雅培 Abbott</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全球CGM和糖尿病监测领域重要龙头，FreeStyle Libre系列具有较强全球品牌、临床认可和渠道覆盖</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雅培具备CGM先发优势、全球注册及临床体系；三诺生物相对优势在国产成本、国内零售渠道和部分新兴海外市场本地化拓展</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德康医疗 Dexcom</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主要聚焦CGM，在高端CGM、临床应用和数据管理方面具有较强技术与品牌优势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双方竞争集中在CGM产品性能、传感器寿命、准确性、价格和海外注册市场；三诺生物相对优势为成本和渠道，德康优势为高端技术、临床积累和全球品牌</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罗氏 Roche、LifeScan、Ascensia等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传统BGM厂商，在血糖仪和医院专业市场具有品牌与技术积累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三诺生物在国内院外零售市场对其形成国产替代，但在海外市场、专业医院市场及专利和合规方面仍需持续投入；这些国际厂商的血糖监测业务可能只是集团业务的一部分，更适合作为产品和行业竞争参照，而非严格财务可比公司</w:t>
            </w:r>
          </w:p>
        </w:tc>
      </w:tr>
    </w:tbl>
    <w:p>
      <w:pPr>
        <w:spacing w:before="200"/>
      </w:pPr>
    </w:p>
    <w:p>
      <w:pPr>
        <w:spacing w:after="160" w:line="300"/>
      </w:pPr>
      <w:r>
        <w:rPr>
          <w:sz w:val="22"/>
          <w:szCs w:val="22"/>
        </w:rPr>
        <w:t xml:space="preserve">三诺生物相较鱼跃医疗更聚焦血糖监测和糖尿病管理，具备试条耗材复购、专业化产品和海外血糖业务基础；相较微泰医疗，其BGM规模、家用渠道、多指标POCT和全球销售体系更强，但在CGM与胰岛素泵联动方面不具备同等特色；相较雅培和德康，三诺生物具备国产成本和国内零售渠道优势，但在CGM全球品牌、临床体系、技术积累和全球医疗渠道能力方面仍存在差距。</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CGM商业化不及预期风险：H6-15s虽已取得三类医疗器械注册证，但注册获批不等同于形成大规模销售；若市场推广、医院及家庭端渗透、用户复购不及预期，CGM投入可能难以转化为收入和利润。</w:t>
      </w:r>
    </w:p>
    <w:p>
      <w:pPr>
        <w:pStyle w:val="ListParagraph"/>
        <w:numPr>
          <w:ilvl w:val="0"/>
          <w:numId w:val="2"/>
        </w:numPr>
        <w:spacing w:after="80" w:line="280"/>
      </w:pPr>
      <w:r>
        <w:rPr>
          <w:sz w:val="22"/>
          <w:szCs w:val="22"/>
        </w:rPr>
        <w:t xml:space="preserve">美国市场注册延期风险：公司二代CGM截至2026年9月2日尚未向美国FDA正式提交注册申请，仍在完善预临床研究、算法验证及试验设计，且需考虑与雅培的欧洲专利诉讼影响，美国市场商业化时间存在不确定性。</w:t>
      </w:r>
    </w:p>
    <w:p>
      <w:pPr>
        <w:pStyle w:val="ListParagraph"/>
        <w:numPr>
          <w:ilvl w:val="0"/>
          <w:numId w:val="2"/>
        </w:numPr>
        <w:spacing w:after="80" w:line="280"/>
      </w:pPr>
      <w:r>
        <w:rPr>
          <w:sz w:val="22"/>
          <w:szCs w:val="22"/>
        </w:rPr>
        <w:t xml:space="preserve">海外业务盈利及合规风险：2025年海外业务成本上升，Trividia与罗氏专利许可事项、海外产品质量及说明书事项相关成本共同压低利润；若海外注册、质量、专利或诉讼事项再次发生，可能继续影响毛利率和净利润。</w:t>
      </w:r>
    </w:p>
    <w:p>
      <w:pPr>
        <w:pStyle w:val="ListParagraph"/>
        <w:numPr>
          <w:ilvl w:val="0"/>
          <w:numId w:val="2"/>
        </w:numPr>
        <w:spacing w:after="80" w:line="280"/>
      </w:pPr>
      <w:r>
        <w:rPr>
          <w:sz w:val="22"/>
          <w:szCs w:val="22"/>
        </w:rPr>
        <w:t xml:space="preserve">库存消化及营运资金风险：2025年期末库存量同比增长26.80%，高于销售量5.53%，存货账面价值约7.60亿元；若CGM新品放量、海外渠道备货或产品结构变化不及预期，可能出现库存周转放缓及减值压力。</w:t>
      </w:r>
    </w:p>
    <w:p>
      <w:pPr>
        <w:pStyle w:val="ListParagraph"/>
        <w:numPr>
          <w:ilvl w:val="0"/>
          <w:numId w:val="2"/>
        </w:numPr>
        <w:spacing w:after="80" w:line="280"/>
      </w:pPr>
      <w:r>
        <w:rPr>
          <w:sz w:val="22"/>
          <w:szCs w:val="22"/>
        </w:rPr>
        <w:t xml:space="preserve">渠道依赖及议价风险：2025年经销收入占77.65%，公司较大程度依赖经销商、药店和区域渠道；海外经销商及大型医疗器械客户议价能力较强，若渠道去库存、价格竞争或经销政策变化，可能压制收入增速和产品毛利。</w:t>
      </w:r>
    </w:p>
    <w:p>
      <w:pPr>
        <w:pStyle w:val="ListParagraph"/>
        <w:numPr>
          <w:ilvl w:val="0"/>
          <w:numId w:val="2"/>
        </w:numPr>
        <w:spacing w:after="80" w:line="280"/>
      </w:pPr>
      <w:r>
        <w:rPr>
          <w:sz w:val="22"/>
          <w:szCs w:val="22"/>
        </w:rPr>
        <w:t xml:space="preserve">盈利修复不及预期风险：2026年上半年利润同比增长部分受2025年商誉减值、专利和解及质量事项形成的低基数影响；若销售费用率维持高位、研发及海外市场投入增加，或一次性费用未能完全消退，机构预测的利润修复幅度可能难以实现。</w:t>
      </w:r>
    </w:p>
    <w:p>
      <w:pPr>
        <w:pStyle w:val="ListParagraph"/>
        <w:numPr>
          <w:ilvl w:val="0"/>
          <w:numId w:val="2"/>
        </w:numPr>
        <w:spacing w:after="80" w:line="280"/>
      </w:pPr>
      <w:r>
        <w:rPr>
          <w:sz w:val="22"/>
          <w:szCs w:val="22"/>
        </w:rPr>
        <w:t xml:space="preserve">供应链与成本波动风险：血糖监测系统成本中原材料占2025年成本的63.27%，CGM还涉及传感器、通信组件及专用材料；公司未完整披露关键芯片、生物酶、电极和传感器材料的供应商集中度，部分核心材料的替代能力和议价能力存在不确定性。</w:t>
      </w:r>
    </w:p>
    <w:p>
      <w:pPr>
        <w:pStyle w:val="ListParagraph"/>
        <w:numPr>
          <w:ilvl w:val="0"/>
          <w:numId w:val="2"/>
        </w:numPr>
        <w:spacing w:after="80" w:line="280"/>
      </w:pPr>
      <w:r>
        <w:rPr>
          <w:sz w:val="22"/>
          <w:szCs w:val="22"/>
        </w:rPr>
        <w:t xml:space="preserve">财务数据口径及估值风险：公司概况中2025年营业收入、医疗器械业务收入等数据存在亿元与百亿元口径不一致，需以年度报告为准；同时截至2026年9月股价对应TTM市盈率约60—65倍，若业绩兑现低于预期，较高估值可能放大股价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已形成覆盖家用、医院、基层医疗和海外市场的血糖监测及慢病POCT平台，传统BGM业务凭借品牌、渠道和试条复购提供基础，CGM注册拓展、国内业务增长和数字化慢病管理则构成中长期增量。若CGM商业化顺利、海外子公司盈利改善、制造成本得到控制，利润率和盈利规模仍存在修复空间。</w:t>
      </w:r>
    </w:p>
    <w:p>
      <w:pPr>
        <w:spacing w:after="160" w:line="300"/>
      </w:pPr>
      <w:r>
        <w:rPr>
          <w:sz w:val="22"/>
          <w:szCs w:val="22"/>
        </w:rPr>
        <w:t xml:space="preserve">机构对2026—2028年归母净利润的代表性预测大致为3.56亿至6.80亿元，但预测并非公司正式指引，且2026年利润增速包含低基数效应。公司当前TTM市盈率约60—65倍，处于历史中高区间，前瞻估值能否下降取决于业绩兑现，而非仅取决于收入增长。</w:t>
      </w:r>
    </w:p>
    <w:p>
      <w:pPr>
        <w:spacing w:after="160" w:line="300"/>
      </w:pPr>
      <w:r>
        <w:rPr>
          <w:sz w:val="22"/>
          <w:szCs w:val="22"/>
        </w:rPr>
        <w:t xml:space="preserve">后续应重点跟踪CGM新品的实际销量与复购、H6-15s注册后的商业化进展、二代CGM美国注册申报、Trividia及PTS盈利修复、海外质量与专利事项是否反复，以及库存、应收账款和经营现金流的变化。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股票代码：300298      股票简称：三诺生物      上市地：深圳证券交易所 — https://static.cninfo.com.cn/finalpage/2017-07-01/1203672268.PDF?utm_source=openai</w:t>
      </w:r>
    </w:p>
    <w:p>
      <w:pPr>
        <w:spacing w:after="200"/>
      </w:pPr>
      <w:r>
        <w:rPr>
          <w:i/>
          <w:iCs/>
          <w:color w:val="595959"/>
          <w:sz w:val="18"/>
          <w:szCs w:val="18"/>
        </w:rPr>
        <w:t xml:space="preserve">三诺生物(300298)_公司公告_三诺生物：2025年年度报告摘要新浪财经_新浪网 — https://money.finance.sina.com.cn/corp/view/vCB_AllBulletinDetail.php?id=12224930&amp;stockid=300298</w:t>
      </w:r>
    </w:p>
    <w:p>
      <w:pPr>
        <w:spacing w:after="200"/>
      </w:pPr>
      <w:r>
        <w:rPr>
          <w:i/>
          <w:iCs/>
          <w:color w:val="595959"/>
          <w:sz w:val="18"/>
          <w:szCs w:val="18"/>
        </w:rPr>
        <w:t xml:space="preserve">三诺生物(300298)_公司公告_三诺生物：2025年年度报告新浪财经_新浪网 — https://vip.stock.finance.sina.com.cn/corp/view/vCB_AllBulletinDetail.php?CompanyCode=80190476&amp;gather=1&amp;id=12224929</w:t>
      </w:r>
    </w:p>
    <w:p>
      <w:pPr>
        <w:spacing w:after="200"/>
      </w:pPr>
      <w:r>
        <w:rPr>
          <w:i/>
          <w:iCs/>
          <w:color w:val="595959"/>
          <w:sz w:val="18"/>
          <w:szCs w:val="18"/>
        </w:rPr>
        <w:t xml:space="preserve">全球领先的糖尿病数字管理专家 - 三诺生物 — https://www.sinocare.com/zh/about.html</w:t>
      </w:r>
    </w:p>
    <w:p>
      <w:pPr>
        <w:spacing w:after="200"/>
      </w:pPr>
      <w:r>
        <w:rPr>
          <w:i/>
          <w:iCs/>
          <w:color w:val="595959"/>
          <w:sz w:val="18"/>
          <w:szCs w:val="18"/>
        </w:rPr>
        <w:t xml:space="preserve">三诺生物(300298)_公司公告_三诺生物：相关债券2026年跟踪评级报告新浪财经_新浪网 — https://money.finance.sina.com.cn/corp/view/vCB_AllBulletinDetail.php?id=12417851&amp;stockid=300298&amp;utm_source=openai</w:t>
      </w:r>
    </w:p>
    <w:p>
      <w:pPr>
        <w:spacing w:after="200"/>
      </w:pPr>
      <w:r>
        <w:rPr>
          <w:i/>
          <w:iCs/>
          <w:color w:val="595959"/>
          <w:sz w:val="18"/>
          <w:szCs w:val="18"/>
        </w:rPr>
        <w:t xml:space="preserve">三诺生物(300298)_公司公告_三诺生物：2024年年度报告新浪财经_新浪网 — https://money.finance.sina.com.cn/corp/view/vCB_AllBulletinDetail.php?id=10909196&amp;stockid=300298</w:t>
      </w:r>
    </w:p>
    <w:p>
      <w:pPr>
        <w:spacing w:after="200"/>
      </w:pPr>
      <w:r>
        <w:rPr>
          <w:i/>
          <w:iCs/>
          <w:color w:val="595959"/>
          <w:sz w:val="18"/>
          <w:szCs w:val="18"/>
        </w:rPr>
        <w:t xml:space="preserve">三诺生物(300298)_公司公告_三诺生物：2023年年度报告新浪财经_新浪网 — https://vip.stock.finance.sina.com.cn/corp/view/vCB_AllBulletinDetail.php?id=10082946&amp;stockid=300298&amp;utm_source=openai</w:t>
      </w:r>
    </w:p>
    <w:p>
      <w:pPr>
        <w:spacing w:after="200"/>
      </w:pPr>
      <w:r>
        <w:rPr>
          <w:i/>
          <w:iCs/>
          <w:color w:val="595959"/>
          <w:sz w:val="18"/>
          <w:szCs w:val="18"/>
        </w:rPr>
        <w:t xml:space="preserve">中国血糖监测行业发展现状分析与投资前景预测报告（2025-2032年）_观研报告网 — https://www.chinabaogao.com/baogao/202511/770598.html?utm_source=openai</w:t>
      </w:r>
    </w:p>
    <w:p>
      <w:pPr>
        <w:spacing w:after="200"/>
      </w:pPr>
      <w:r>
        <w:rPr>
          <w:i/>
          <w:iCs/>
          <w:color w:val="595959"/>
          <w:sz w:val="18"/>
          <w:szCs w:val="18"/>
        </w:rPr>
        <w:t xml:space="preserve">血糖监测仪大变局：国产品牌的全力一击-36氪 — https://www.36kr.com/p/2717141295466241?utm_source=openai</w:t>
      </w:r>
    </w:p>
    <w:p>
      <w:pPr>
        <w:spacing w:after="200"/>
      </w:pPr>
      <w:r>
        <w:rPr>
          <w:i/>
          <w:iCs/>
          <w:color w:val="595959"/>
          <w:sz w:val="18"/>
          <w:szCs w:val="18"/>
        </w:rPr>
        <w:t xml:space="preserve">2026-2032年中国血糖仪行业竞争策略研究及未来前景展望报告_智研咨询 — https://www.chyxx.com/research/202110/981072.html?utm_source=openai</w:t>
      </w:r>
    </w:p>
    <w:p>
      <w:pPr>
        <w:spacing w:after="200"/>
      </w:pPr>
      <w:r>
        <w:rPr>
          <w:i/>
          <w:iCs/>
          <w:color w:val="595959"/>
          <w:sz w:val="18"/>
          <w:szCs w:val="18"/>
        </w:rPr>
        <w:t xml:space="preserve">晓经济-三诺生物 — https://xiaojingji.com/stock/one/notice?code=300298&amp;type=5&amp;utm_source=openai</w:t>
      </w:r>
    </w:p>
    <w:p>
      <w:pPr>
        <w:spacing w:after="200"/>
      </w:pPr>
      <w:r>
        <w:rPr>
          <w:i/>
          <w:iCs/>
          <w:color w:val="595959"/>
          <w:sz w:val="18"/>
          <w:szCs w:val="18"/>
        </w:rPr>
        <w:t xml:space="preserve">三诺生物(300298)_公司公告_三诺生物：2026年半年度报告摘要新浪财经_新浪网 — https://money.finance.sina.com.cn/corp/view/vCB_AllBulletinDetail.php?id=12475279&amp;stockid=300298&amp;utm_source=openai</w:t>
      </w:r>
    </w:p>
    <w:p>
      <w:pPr>
        <w:spacing w:after="200"/>
      </w:pPr>
      <w:r>
        <w:rPr>
          <w:i/>
          <w:iCs/>
          <w:color w:val="595959"/>
          <w:sz w:val="18"/>
          <w:szCs w:val="18"/>
        </w:rPr>
        <w:t xml:space="preserve">三诺生物(300298)：量利齐升、CGM高增减亏 基本盘与海外协同修复__新浪财经_新浪网 — https://stock.finance.sina.com.cn/stock/go.php/vReport_Show/kind/search/rptid/840438196035/index.phtml?utm_source=openai</w:t>
      </w:r>
    </w:p>
    <w:p>
      <w:pPr>
        <w:spacing w:after="200"/>
      </w:pPr>
      <w:r>
        <w:rPr>
          <w:i/>
          <w:iCs/>
          <w:color w:val="595959"/>
          <w:sz w:val="18"/>
          <w:szCs w:val="18"/>
        </w:rPr>
        <w:t xml:space="preserve">三诺生物(300298) 盈利预测_F10_同花顺金融服务网 — https://basic.10jqka.com.cn/300298/worth.html?utm_source=openai</w:t>
      </w:r>
    </w:p>
    <w:p>
      <w:pPr>
        <w:spacing w:after="200"/>
      </w:pPr>
      <w:r>
        <w:rPr>
          <w:i/>
          <w:iCs/>
          <w:color w:val="595959"/>
          <w:sz w:val="18"/>
          <w:szCs w:val="18"/>
        </w:rPr>
        <w:t xml:space="preserve">境内业务高增长，创新转型稳步推进- 宏观研究报告 _ 数据中心 _ 东方财富网 — https://data.eastmoney.com/report/info/AP202608041827605832.html?utm_source=openai</w:t>
      </w:r>
    </w:p>
    <w:p>
      <w:pPr>
        <w:spacing w:after="200"/>
      </w:pPr>
      <w:r>
        <w:rPr>
          <w:i/>
          <w:iCs/>
          <w:color w:val="595959"/>
          <w:sz w:val="18"/>
          <w:szCs w:val="18"/>
        </w:rPr>
        <w:t xml:space="preserve">三诺生物(300298)2025年年报及2026年一季报点评：业绩企稳回升 CGM全球布局驱动成长_九方智投 — https://www.9fzt.com/detail/sz_300298_10_830946683124.html?utm_source=openai</w:t>
      </w:r>
    </w:p>
    <w:p>
      <w:pPr>
        <w:spacing w:after="200"/>
      </w:pPr>
      <w:r>
        <w:rPr>
          <w:i/>
          <w:iCs/>
          <w:color w:val="595959"/>
          <w:sz w:val="18"/>
          <w:szCs w:val="18"/>
        </w:rPr>
        <w:t xml:space="preserve">三诺生物(300298)：国内业务增长良好 盈利能力持续修复 — https://quote.cfi.cn/ybdata.aspx?id=20260810000158&amp;utm_source=openai</w:t>
      </w:r>
    </w:p>
    <w:p>
      <w:pPr>
        <w:spacing w:after="200"/>
      </w:pPr>
      <w:r>
        <w:rPr>
          <w:i/>
          <w:iCs/>
          <w:color w:val="595959"/>
          <w:sz w:val="18"/>
          <w:szCs w:val="18"/>
        </w:rPr>
        <w:t xml:space="preserve">开源证券：给予三诺生物买入评级_券商研报_数据解析_股票_证券之星 — https://wap.stockstar.com/detail/RB2026043000042875?utm_source=openai</w:t>
      </w:r>
    </w:p>
    <w:p>
      <w:pPr>
        <w:spacing w:after="200"/>
      </w:pPr>
      <w:r>
        <w:rPr>
          <w:i/>
          <w:iCs/>
          <w:color w:val="595959"/>
          <w:sz w:val="18"/>
          <w:szCs w:val="18"/>
        </w:rPr>
        <w:t xml:space="preserve">三诺生物 (300298)股票预测和分析师评级 - 富途牛牛 — https://www.futunn.com/stock/300298-SZ/forecast?security_id=203091&amp;utm_source=openai</w:t>
      </w:r>
    </w:p>
    <w:p>
      <w:pPr>
        <w:spacing w:after="200"/>
      </w:pPr>
      <w:r>
        <w:rPr>
          <w:i/>
          <w:iCs/>
          <w:color w:val="595959"/>
          <w:sz w:val="18"/>
          <w:szCs w:val="18"/>
        </w:rPr>
        <w:t xml:space="preserve">三诺生物(300298)股票历史数据:历史行情,价格,走势图表_英为财情Investing.com — https://cn.investing.com/equities/sinocare-inc-historical-data?utm_source=openai</w:t>
      </w:r>
    </w:p>
    <w:p>
      <w:pPr>
        <w:spacing w:after="200"/>
      </w:pPr>
      <w:r>
        <w:rPr>
          <w:i/>
          <w:iCs/>
          <w:color w:val="595959"/>
          <w:sz w:val="18"/>
          <w:szCs w:val="18"/>
        </w:rPr>
        <w:t xml:space="preserve">三诺生物(300298)市盈率|估值|基本面 - 理杏仁 — https://www.lixinger.com/equity/company/detail/sz/300298/300298/fundamental/valuation/pe-ttm?utm_source=openai</w:t>
      </w:r>
    </w:p>
    <w:p>
      <w:pPr>
        <w:spacing w:after="200"/>
      </w:pPr>
      <w:r>
        <w:rPr>
          <w:i/>
          <w:iCs/>
          <w:color w:val="595959"/>
          <w:sz w:val="18"/>
          <w:szCs w:val="18"/>
        </w:rPr>
        <w:t xml:space="preserve">昨日估值：三诺生物 市盈率（TTM）67.03倍，处于分位70.2%（2026年8月21日） — https://news.10jqka.com.cn/20260824/c679205556.shtml?utm_source=openai</w:t>
      </w:r>
    </w:p>
    <w:p>
      <w:pPr>
        <w:spacing w:after="200"/>
      </w:pPr>
      <w:r>
        <w:rPr>
          <w:i/>
          <w:iCs/>
          <w:color w:val="595959"/>
          <w:sz w:val="18"/>
          <w:szCs w:val="18"/>
        </w:rPr>
        <w:t xml:space="preserve">三诺生物(300298)_公司公告_三诺生物：2022年半年度报告摘要新浪财经_新浪网 — https://money.finance.sina.com.cn/corp/view/vCB_AllBulletinDetail.php?id=8438962&amp;stockid=300298&amp;utm_source=openai</w:t>
      </w:r>
    </w:p>
    <w:p>
      <w:pPr>
        <w:spacing w:after="200"/>
      </w:pPr>
      <w:r>
        <w:rPr>
          <w:i/>
          <w:iCs/>
          <w:color w:val="595959"/>
          <w:sz w:val="18"/>
          <w:szCs w:val="18"/>
        </w:rPr>
        <w:t xml:space="preserve">三诺生物(300298)_公司公告_三诺生物：关于取得医疗器械注册证暨医疗器械注册变更的公告新浪财经_新浪网 — https://money.finance.sina.com.cn/corp/view/vCB_AllBulletinDetail.php?id=12588418&amp;stockid=300298&amp;utm_source=openai</w:t>
      </w:r>
    </w:p>
    <w:p>
      <w:pPr>
        <w:spacing w:after="200"/>
      </w:pPr>
      <w:r>
        <w:rPr>
          <w:i/>
          <w:iCs/>
          <w:color w:val="595959"/>
          <w:sz w:val="18"/>
          <w:szCs w:val="18"/>
        </w:rPr>
        <w:t xml:space="preserve">三诺生物(300298)_公司公告_三诺生物：关于回购公司股份的进展公告新浪财经_新浪网 — https://money.finance.sina.com.cn/corp/view/vCB_AllBulletinDetail.php?id=12579014&amp;stockid=300298&amp;utm_source=openai</w:t>
      </w:r>
    </w:p>
    <w:p>
      <w:pPr>
        <w:spacing w:after="200"/>
      </w:pPr>
      <w:r>
        <w:rPr>
          <w:i/>
          <w:iCs/>
          <w:color w:val="595959"/>
          <w:sz w:val="18"/>
          <w:szCs w:val="18"/>
        </w:rPr>
        <w:t xml:space="preserve">三诺生物(300298)_公司公告_三诺生物：2026年9月2日投资者关系活动记录表新浪财经_新浪网 — https://money.finance.sina.com.cn/corp/view/vCB_AllBulletinDetail.php?id=12581038&amp;stockid=300298&amp;utm_source=openai</w:t>
      </w:r>
    </w:p>
    <w:p>
      <w:pPr>
        <w:spacing w:after="200"/>
      </w:pPr>
      <w:r>
        <w:rPr>
          <w:i/>
          <w:iCs/>
          <w:color w:val="595959"/>
          <w:sz w:val="18"/>
          <w:szCs w:val="18"/>
        </w:rPr>
        <w:t xml:space="preserve">三诺生物(300298)_公司公告_三诺生物：2026年半年度报告新浪财经_新浪网 — https://money.finance.sina.com.cn/corp/view/vCB_AllBulletinDetail.php?id=12475295&amp;stockid=300298&amp;utm_source=openai</w:t>
      </w:r>
    </w:p>
    <w:p>
      <w:pPr>
        <w:spacing w:after="200"/>
      </w:pPr>
      <w:r>
        <w:rPr>
          <w:i/>
          <w:iCs/>
          <w:color w:val="595959"/>
          <w:sz w:val="18"/>
          <w:szCs w:val="18"/>
        </w:rPr>
        <w:t xml:space="preserve">三诺生物: 关于不向下修正三诺转债转股价格的公告_债券频道_证券之星 — https://bond.stockstar.com/SN2026080300033299.shtml?utm_source=openai</w:t>
      </w:r>
    </w:p>
    <w:p>
      <w:pPr>
        <w:spacing w:after="200"/>
      </w:pPr>
      <w:r>
        <w:rPr>
          <w:i/>
          <w:iCs/>
          <w:color w:val="595959"/>
          <w:sz w:val="18"/>
          <w:szCs w:val="18"/>
        </w:rPr>
        <w:t xml:space="preserve">三诺生物(300298)_公司公告_三诺生物：关于参加2026年湖南辖区上市公司投资者网上集体接待日暨半年度业绩说明会活动的公告新浪财经_新浪网 — https://vip.stock.finance.sina.com.cn/corp/view/vCB_AllBulletinDetail.php?id=12558029&amp;stockid=300298&amp;utm_source=openai</w:t>
      </w:r>
    </w:p>
    <w:p>
      <w:pPr>
        <w:spacing w:after="200"/>
      </w:pPr>
      <w:r>
        <w:rPr>
          <w:i/>
          <w:iCs/>
          <w:color w:val="595959"/>
          <w:sz w:val="18"/>
          <w:szCs w:val="18"/>
        </w:rPr>
        <w:t xml:space="preserve">三诺生物(300298) 最新动态_F10_同花顺金融服务网 — https://basic.10jqka.com.cn/300298/?utm_source=openai</w:t>
      </w:r>
    </w:p>
    <w:p>
      <w:pPr>
        <w:spacing w:after="200"/>
      </w:pPr>
      <w:r>
        <w:rPr>
          <w:i/>
          <w:iCs/>
          <w:color w:val="595959"/>
          <w:sz w:val="18"/>
          <w:szCs w:val="18"/>
        </w:rPr>
        <w:t xml:space="preserve">三诺生物(300298)_股票行情，行情首页_中财网 — https://quote.cfi.cn/300298.html?utm_source=openai</w:t>
      </w:r>
    </w:p>
    <w:p>
      <w:pPr>
        <w:spacing w:after="200"/>
      </w:pPr>
      <w:r>
        <w:rPr>
          <w:i/>
          <w:iCs/>
          <w:color w:val="595959"/>
          <w:sz w:val="18"/>
          <w:szCs w:val="18"/>
        </w:rPr>
        <w:t xml:space="preserve">三诺生物(300298.SZ) 股票行情_历史数据_主力资金 - 大波浪数据 — https://www.yyqyx.com/s/300298.SZ?utm_source=openai</w:t>
      </w:r>
    </w:p>
    <w:p>
      <w:pPr>
        <w:spacing w:after="200"/>
      </w:pPr>
      <w:r>
        <w:rPr>
          <w:i/>
          <w:iCs/>
          <w:color w:val="595959"/>
          <w:sz w:val="18"/>
          <w:szCs w:val="18"/>
        </w:rPr>
        <w:t xml:space="preserve">三诺生物(300298.SZ) 股票行情_历史数据_主力资金 - 大波浪数据 — https://www.yyqyx.com/s/300298.SZ</w:t>
      </w:r>
    </w:p>
    <w:p>
      <w:pPr>
        <w:spacing w:after="200"/>
      </w:pPr>
      <w:r>
        <w:rPr>
          <w:i/>
          <w:iCs/>
          <w:color w:val="595959"/>
          <w:sz w:val="18"/>
          <w:szCs w:val="18"/>
        </w:rPr>
        <w:t xml:space="preserve">本报告由AI基于公开渠道信息自动检索、整理并生成，信息截至 截至2026年9月11日收盘；均线、MACD、RSI及布林带平台指标主要截至2026年9月10日，部分9月11日指标为基于公开收盘价的简化重算或定性判断。，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2026-09-13T12:50:29.748Z</dcterms:created>
  <dcterms:modified xsi:type="dcterms:W3CDTF">2026-09-13T12:50:29.748Z</dcterms:modified>
</cp:coreProperties>
</file>

<file path=docProps/custom.xml><?xml version="1.0" encoding="utf-8"?>
<Properties xmlns="http://schemas.openxmlformats.org/officeDocument/2006/custom-properties" xmlns:vt="http://schemas.openxmlformats.org/officeDocument/2006/docPropsVTypes"/>
</file>