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中际旭创股份有限公司 (300308)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行业：高速光通信光模块制造</w:t>
      </w:r>
    </w:p>
    <w:p>
      <w:pPr>
        <w:jc w:val="center"/>
      </w:pPr>
      <w:r>
        <w:rPr>
          <w:color w:val="595959"/>
          <w:sz w:val="22"/>
          <w:szCs w:val="22"/>
        </w:rPr>
        <w:t xml:space="preserve">报告日期：2026年9月14日</w:t>
      </w:r>
    </w:p>
    <w:p>
      <w:pPr>
        <w:jc w:val="center"/>
      </w:pPr>
      <w:r>
        <w:rPr>
          <w:color w:val="595959"/>
          <w:sz w:val="20"/>
          <w:szCs w:val="20"/>
        </w:rPr>
        <w:t xml:space="preserve">截至2026年9月14日收盘；9月14日收盘价、涨跌幅及估值数据主要来自理杏仁，部分行情数据尚未由多个平台完全交叉验证；布林带数据截至2026年9月8日。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际旭创2026年上半年实现营业收入417.78亿元，同比增长182.49%；归母净利润136.51亿元，同比增长241.70%，扣非归母净利润130.92亿元，同比增长229.32%，高端光模块出货增长、产品结构优化及运营效率提升是主要驱动因素。但同期经营活动现金流量净额仅17.997亿元，同比下降44.08%，明显弱于收入和利润增速，盈利兑现与现金流质量之间的差异是当前最具决策意义的观察点。</w:t>
      </w:r>
    </w:p>
    <w:p>
      <w:pPr>
        <w:spacing w:after="160" w:line="300"/>
      </w:pPr>
      <w:r>
        <w:rPr>
          <w:sz w:val="22"/>
          <w:szCs w:val="22"/>
        </w:rPr>
        <w:t xml:space="preserve">公司业务高度集中于高速光通信收发模块，2024年该业务收入占比95.91%，AI数据中心是核心增长来源；2026年上半年业绩延续高速增长，反映800G、1.6T等产品放量及产业景气度较强。公司具备规模化制造、客户认证、全球交付和快速量产能力，但2024年前五大客户销售占比74.74%，美国收入约占总收入60.5%，下游客户集中、海外市场依赖和北美资本开支节奏对业绩影响较大。</w:t>
      </w:r>
    </w:p>
    <w:p>
      <w:pPr>
        <w:spacing w:after="160" w:line="300"/>
      </w:pPr>
      <w:r>
        <w:rPr>
          <w:sz w:val="22"/>
          <w:szCs w:val="22"/>
        </w:rPr>
        <w:t xml:space="preserve">截至2026年9月14日，公司股价收于873元，PE-TTM约50.28倍、PB约25.80倍，收盘价低于MA5、MA10、MA20及MA200，RSI为42.515，StochRSI和Williams %R显示短线超卖，技术面呈现价格偏弱但存在反抽可能的分化状态。当前估值已经包含较高增长预期，市场对2027—2028年盈利预测分歧较大，后续业绩增速、产品迭代和现金流表现将决定估值消化速度。</w:t>
      </w:r>
    </w:p>
    <w:p>
      <w:pPr>
        <w:spacing w:after="160" w:line="300"/>
      </w:pPr>
      <w:r>
        <w:rPr>
          <w:sz w:val="22"/>
          <w:szCs w:val="22"/>
        </w:rPr>
        <w:t xml:space="preserve">公司于2026年9月启动40亿至80亿元股份回购，截至9月11日按公开披露数据粗略估算已累计回购约28.20亿元，但回购股份目前主要作为库存股持有，尚未直接形成股份注销；此外，公司拟以约17.47亿元受让中石科技10.47%股份，协议转让尚未完成过户，并拟向亏损的控股子公司深度智冷提供不超过5100万元财务资助，资金使用效率和产业链协同效果仍需后续验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300308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中际旭创</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2012年4月10日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山东省龙口市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公司前身及业务转型</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公司前身主营电机绕组设备，2017年前后通过收购苏州旭创进入高速光模块领域，此后业务重心转向光通信。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238.62亿元，同比增长122.64%</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51.71亿元，同比增长137.93%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2024年核心业务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光通信收发模块收入228.86亿元，占营业收入95.91%，毛利率34.65%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2024年境外收入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207.16亿元，占营业收入86.81%；其中美国收入144.28亿元，占总收入约60.5%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2024年销售模式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直销收入235.01亿元，占总收入98.49%；渠道收入3.61亿元，占1.51%</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主要数据口径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主要采用截至2024年12月31日的经审计年度数据及2025年4月21日披露的《2024年年度报告》</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光通信收发模块：2024年收入228.86亿元，占营业收入95.91%，同比增长124.77%，毛利率34.65%；产品覆盖100G、200G、400G、800G和1.6T，包括800G OSFP、800G QSFP-DD、400G QSFP-DD、400G OSFP、100G QSFP28，以及硅光、LPO、相干光模块等。</w:t>
      </w:r>
    </w:p>
    <w:p>
      <w:pPr>
        <w:pStyle w:val="ListParagraph"/>
        <w:numPr>
          <w:ilvl w:val="0"/>
          <w:numId w:val="2"/>
        </w:numPr>
        <w:spacing w:after="80" w:line="280"/>
      </w:pPr>
      <w:r>
        <w:rPr>
          <w:sz w:val="22"/>
          <w:szCs w:val="22"/>
        </w:rPr>
        <w:t xml:space="preserve">汽车光电子：2024年收入7.62亿元，占营业收入3.19%，同比增长128.11%。</w:t>
      </w:r>
    </w:p>
    <w:p>
      <w:pPr>
        <w:pStyle w:val="ListParagraph"/>
        <w:numPr>
          <w:ilvl w:val="0"/>
          <w:numId w:val="2"/>
        </w:numPr>
        <w:spacing w:after="80" w:line="280"/>
      </w:pPr>
      <w:r>
        <w:rPr>
          <w:sz w:val="22"/>
          <w:szCs w:val="22"/>
        </w:rPr>
        <w:t xml:space="preserve">光组件：2024年收入2.14亿元，占营业收入0.90%，同比增长6.18%。</w:t>
      </w:r>
    </w:p>
    <w:p>
      <w:pPr>
        <w:pStyle w:val="ListParagraph"/>
        <w:numPr>
          <w:ilvl w:val="0"/>
          <w:numId w:val="2"/>
        </w:numPr>
        <w:spacing w:after="80" w:line="280"/>
      </w:pPr>
      <w:r>
        <w:rPr>
          <w:sz w:val="22"/>
          <w:szCs w:val="22"/>
        </w:rPr>
        <w:t xml:space="preserve">应用领域包括云计算数据中心及AI数据中心、数据通信网络、5G无线网络、电信传输网络、固网接入和FTTx，以及汽车光电子等新业务。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际旭创位于光通信产业链中游，本质上是高速光模块制造商，负责光模块的研发、设计、封装、测试和销售，将光芯片、电子芯片、光器件、PCB及结构件等集成为可安装于交换机、服务器或通信设备的光收发模块。2024年光通信收发模块收入占比达到95.91%，AI数据中心高速光模块是当前最核心的增长来源。</w:t>
      </w:r>
    </w:p>
    <w:p>
      <w:pPr>
        <w:pStyle w:val="ListParagraph"/>
        <w:numPr>
          <w:ilvl w:val="0"/>
          <w:numId w:val="2"/>
        </w:numPr>
        <w:spacing w:after="80" w:line="280"/>
      </w:pPr>
      <w:r>
        <w:rPr>
          <w:sz w:val="22"/>
          <w:szCs w:val="22"/>
        </w:rPr>
        <w:t xml:space="preserve">主要采购光器件和光芯片、DSP/Driver/TIA等集成电路芯片、TOSA发射组件、ROSA接收组件、PCB及其他电子元器件、结构件、连接器、散热及辅料，以及生产所需电力。TOSA通常包含VCSEL、DFB、EML等激光器芯片，ROSA通常包含APD、PIN等探测器芯片。</w:t>
      </w:r>
    </w:p>
    <w:p>
      <w:pPr>
        <w:pStyle w:val="ListParagraph"/>
        <w:numPr>
          <w:ilvl w:val="0"/>
          <w:numId w:val="2"/>
        </w:numPr>
        <w:spacing w:after="80" w:line="280"/>
      </w:pPr>
      <w:r>
        <w:rPr>
          <w:sz w:val="22"/>
          <w:szCs w:val="22"/>
        </w:rPr>
        <w:t xml:space="preserve">光芯片在成本中占比较高，50G及以上速率的EML仍较多依赖进口；10G及以下速率的DFB、PIN、VCSEL、FP、APD等产品国内供应链较成熟，10G至25G速率的EML已有部分国内厂商可以批量供应。</w:t>
      </w:r>
    </w:p>
    <w:p>
      <w:pPr>
        <w:pStyle w:val="ListParagraph"/>
        <w:numPr>
          <w:ilvl w:val="0"/>
          <w:numId w:val="2"/>
        </w:numPr>
        <w:spacing w:after="80" w:line="280"/>
      </w:pPr>
      <w:r>
        <w:rPr>
          <w:sz w:val="22"/>
          <w:szCs w:val="22"/>
        </w:rPr>
        <w:t xml:space="preserve">公司在封装、测试、制造规模、客户认证和产品设计方面具备较强竞争力，但对部分高端光芯片、核心电子芯片和高性能光器件存在外部依赖，整体并非上游成本的完全定价者，部分关键物料更接近价格接受者。</w:t>
      </w:r>
    </w:p>
    <w:p>
      <w:pPr>
        <w:pStyle w:val="ListParagraph"/>
        <w:numPr>
          <w:ilvl w:val="0"/>
          <w:numId w:val="2"/>
        </w:numPr>
        <w:spacing w:after="80" w:line="280"/>
      </w:pPr>
      <w:r>
        <w:rPr>
          <w:sz w:val="22"/>
          <w:szCs w:val="22"/>
        </w:rPr>
        <w:t xml:space="preserve">2024年前五大供应商采购金额83.39亿元，占年度采购总额50.96%。公司未披露供应商真实名称，仅以供应商A至E列示，无法判断单一供应商对应的具体芯片或器件，也无法据此确认单一供应商的技术不可替代性。该数据来自公司年报，但供应商名称未披露。</w:t>
      </w:r>
    </w:p>
    <w:p>
      <w:pPr>
        <w:pStyle w:val="ListParagraph"/>
        <w:numPr>
          <w:ilvl w:val="0"/>
          <w:numId w:val="2"/>
        </w:numPr>
        <w:spacing w:after="80" w:line="280"/>
      </w:pPr>
      <w:r>
        <w:rPr>
          <w:sz w:val="22"/>
          <w:szCs w:val="22"/>
        </w:rPr>
        <w:t xml:space="preserve">下游客户主要包括全球大型云计算和互联网企业、AI数据中心和服务器厂商、国内外通信设备制造商、电信运营商供应链企业及汽车电子客户。</w:t>
      </w:r>
    </w:p>
    <w:p>
      <w:pPr>
        <w:pStyle w:val="ListParagraph"/>
        <w:numPr>
          <w:ilvl w:val="0"/>
          <w:numId w:val="2"/>
        </w:numPr>
        <w:spacing w:after="80" w:line="280"/>
      </w:pPr>
      <w:r>
        <w:rPr>
          <w:sz w:val="22"/>
          <w:szCs w:val="22"/>
        </w:rPr>
        <w:t xml:space="preserve">2024年前五大客户销售金额178.36亿元，占年度销售总额74.74%；前三大客户分别占总收入22.43%、21.30%和18.77%，合计约62.50%。公司未披露客户真实名称，仅列示为客户A至客户E；上述集中度为2024年度数据，具体客户身份无法从年报直接确认。</w:t>
      </w:r>
    </w:p>
    <w:p>
      <w:pPr>
        <w:pStyle w:val="ListParagraph"/>
        <w:numPr>
          <w:ilvl w:val="0"/>
          <w:numId w:val="2"/>
        </w:numPr>
        <w:spacing w:after="80" w:line="280"/>
      </w:pPr>
      <w:r>
        <w:rPr>
          <w:sz w:val="22"/>
          <w:szCs w:val="22"/>
        </w:rPr>
        <w:t xml:space="preserve">客户通常要求供应商通过供应商认证、产品代码认证和可靠性验证，新产品导入及供应商切换存在认证周期和替换成本，头部供应商因此具备一定客户黏性。</w:t>
      </w:r>
    </w:p>
    <w:p>
      <w:pPr>
        <w:pStyle w:val="ListParagraph"/>
        <w:numPr>
          <w:ilvl w:val="0"/>
          <w:numId w:val="2"/>
        </w:numPr>
        <w:spacing w:after="80" w:line="280"/>
      </w:pPr>
      <w:r>
        <w:rPr>
          <w:sz w:val="22"/>
          <w:szCs w:val="22"/>
        </w:rPr>
        <w:t xml:space="preserve">公司产品是交换机、服务器和通信设备的重要核心零部件，但光模块仍具有一定标准化特征。面对少数全球云厂商，客户采购规模、产品代际、竞争对手报价和上游芯片成本会影响价格，公司不具备绝对定价权。</w:t>
      </w:r>
    </w:p>
    <w:p>
      <w:pPr>
        <w:pStyle w:val="ListParagraph"/>
        <w:numPr>
          <w:ilvl w:val="0"/>
          <w:numId w:val="2"/>
        </w:numPr>
        <w:spacing w:after="80" w:line="280"/>
      </w:pPr>
      <w:r>
        <w:rPr>
          <w:sz w:val="22"/>
          <w:szCs w:val="22"/>
        </w:rPr>
        <w:t xml:space="preserve">公司境外收入占比高，且美国收入占总收入约60.5%，业务景气与北美云厂商资本开支、AI数据中心建设节奏密切相关，同时面临贸易政策和地缘政治风险。</w:t>
      </w:r>
    </w:p>
    <w:p>
      <w:pPr>
        <w:pStyle w:val="ListParagraph"/>
        <w:numPr>
          <w:ilvl w:val="0"/>
          <w:numId w:val="2"/>
        </w:numPr>
        <w:spacing w:after="80" w:line="280"/>
      </w:pPr>
      <w:r>
        <w:rPr>
          <w:sz w:val="22"/>
          <w:szCs w:val="22"/>
        </w:rPr>
        <w:t xml:space="preserve">截至2024年12月31日，应收账款账面余额46.77亿元，约占2024年营业收入19.6%，较2023年末增长约77.4%；按2023年末和2024年末应收账款平均余额计算，粗略应收账款周转天数约5.6天，但该数字并非公司正式披露指标。应收账款中1年以内金额46.00亿元，占余额约98.4%。应付账款29.91亿元、应付票据5.17亿元，合计约35.08亿元；预付款项0.80亿元。前五大供应商采购占比50.96%，表明公司可利用一定商业信用对冲部分采购资金占用，但高端芯片及器件供应商未必同等依赖公司账期。</w:t>
      </w:r>
    </w:p>
    <w:p>
      <w:pPr>
        <w:pStyle w:val="ListParagraph"/>
        <w:numPr>
          <w:ilvl w:val="0"/>
          <w:numId w:val="2"/>
        </w:numPr>
        <w:spacing w:after="80" w:line="280"/>
      </w:pPr>
      <w:r>
        <w:rPr>
          <w:sz w:val="22"/>
          <w:szCs w:val="22"/>
        </w:rPr>
        <w:t xml:space="preserve">产业链集中度呈两端分化：2024年前五大客户占销售总额74.74%，前三大客户合计约62.50%，下游集中度较高，客户具有采购规模和订单份额议价压力；2024年前五大供应商占采购总额50.96%，但供应商真实名称未披露，无法据此判断单一供应商的技术不可替代性。上述客户和供应商集中度均为2024年度数据，且客户、供应商均以A至E代号列示，具体情况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29.31%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约12.70%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高速光模块占比提升，400G及200G产品需求增长，境外高端产品放量。</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约32.99%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约20.28%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800G、400G等高端产品出货增加，产品结构改善，规模效应和降本增效增强。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约33.80%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约21.67%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800G、400G产品继续放量，海外数据中心需求增长，产品结构升级和制造规模扩大；公司分产品披露的光通信收发模块毛利率为34.65%，高于整体综合毛利率，原因是整体收入还包括汽车光电子、光组件等业务。</w:t>
            </w:r>
          </w:p>
        </w:tc>
      </w:tr>
    </w:tbl>
    <w:p>
      <w:pPr>
        <w:spacing w:before="200"/>
      </w:pPr>
    </w:p>
    <w:p>
      <w:pPr>
        <w:spacing w:after="160" w:line="300"/>
      </w:pPr>
      <w:r>
        <w:rPr>
          <w:sz w:val="22"/>
          <w:szCs w:val="22"/>
        </w:rPr>
        <w:t xml:space="preserve">公司位于光通信产业链中游，属于以高端高速光模块为核心的全球化制造龙头，既非主要生产上游光芯片的资源或芯片企业，也不是拥有终端品牌定价权的下游运营商。进一步提升利润率主要依赖400G、800G和1.6T等高端产品的结构升级、规模化制造、良率提升和成本控制，而非上游资源垄断或下游终端品牌溢价。</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417.78亿元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同比增长182.49%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归母净利润136.51亿元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同比增长241.70%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194.96亿元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同比增长192.12%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归母净利润57.35亿元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同比增长262.28%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2026年第二季度（计算值）</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约222.82亿元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归母净利润约79.17亿元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382.40亿元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同比增长60.25%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归母净利润107.97亿元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同比增长108.78%</w:t>
            </w:r>
          </w:p>
        </w:tc>
      </w:tr>
    </w:tbl>
    <w:p>
      <w:pPr>
        <w:spacing w:after="200"/>
      </w:pPr>
      <w:r>
        <w:rPr>
          <w:i/>
          <w:iCs/>
          <w:color w:val="595959"/>
          <w:sz w:val="18"/>
          <w:szCs w:val="18"/>
        </w:rPr>
        <w:t xml:space="preserve">2026年第二季度数据为根据2026年一季度和上半年累计数据倒算，非公司单独披露口径。2026年上半年扣非归母净利润为130.92亿元，同比增长229.32%；基本每股收益12.31元，同比增长238.19%；加权平均净资产收益率37.62%，较上年同期提升18.78个百分点。2026年上半年经营活动产生的现金流量净额为18.00亿元，同比下降44.08%。截至2026年6月30日，公司总资产689.42亿元，归属于上市公司股东的净资产398.59亿元，资产负债率约36.08%。2025年扣非归母净利润为107.10亿元，同比增长111.31%，基本每股收益9.80元，经营活动产生的现金流量净额为108.96亿元，同比增长244.31%。</w:t>
      </w:r>
    </w:p>
    <w:p>
      <w:pPr>
        <w:spacing w:after="160" w:line="300"/>
      </w:pPr>
      <w:r>
        <w:rPr>
          <w:sz w:val="22"/>
          <w:szCs w:val="22"/>
        </w:rPr>
        <w:t xml:space="preserve">2026年上半年收入和利润高速增长，扣非归母净利润约占归母净利润95.9%，利润增长主要来自主营业务。800G、1.6T等高端光模块出货增长、产品结构优化及运营效率提升是主要驱动因素。但经营活动现金流仅18.00亿元且同比下降44.08%，明显低于净利润增速，需关注存货、应收账款及产能建设投入对营运资金和现金流的占用。</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预测截至2026年9月10日前后，主要来自同花顺近6个月30家机构盈利预测汇总及部分机构公开研报，并非公司业绩指引。2027—2028年机构预测区间较宽，反映市场对1.6T、2.4T、NPO/CPO等产品放量节奏及盈利能力存在较大分歧。高盛、美银证券等单一机构预测明显偏乐观，不应直接视为市场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约1000.31亿元；交银国际970.3亿元；高盛1319亿元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机构平均326.66亿元，区间233.02亿至405.31亿元；天风证券359.55亿元；兴业证券347.23亿元；国盛证券345.75亿元；华创证券354.70亿元；中国银河365.49亿元；招银国际/招银证券约360.1亿元；高盛404亿元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机构平均28.72元，区间20.97元至36.48元；天风证券30.52元；兴业证券29.48元；国盛证券29.35元；华创证券30.32元；中国银河31.25元；招银国际/招银证券32.41元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交银国际1568.1亿元；高盛2767亿元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机构平均597.70亿元，区间339.90亿至891.80亿元；天风证券891.80亿元；兴业证券637.66亿元；国盛证券655.01亿元；华创证券647.20亿元；中国银河729.29亿元；招银国际/招银证券约598.1亿元；高盛869亿元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机构平均52.45元，区间30.59元至75.71元；天风证券75.71元；兴业证券54.14元；国盛证券55.61元；华创证券55.33元；中国银河62.35元；招银国际/招银证券53.83元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交银国际2078.8亿元；高盛4178亿元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机构平均854.44亿元，区间433.66亿至1367.62亿元；天风证券1367.62亿元；兴业证券959.33亿元；国盛证券878.31亿元；华创证券810.13亿元；中国银河1093.56亿元；高盛1371亿元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机构平均74.97元，区间39.03元至116.11元；天风证券116.11元；兴业证券81.44元；国盛证券74.56元；华创证券69.26元；中国银河93.49元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2028E（美银证券单一机构预测）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2947.61亿元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1035.13亿元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93.16元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买入；目标价未披露</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2026—2028年EPS分别为30.52元、75.71元、116.11元；归母净利润分别为359.55亿元、891.80亿元、1367.62亿元。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兴业证券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增持；目标价未披露</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2026—2028年EPS分别为29.48元、54.14元、81.44元；归母净利润分别为347.23亿元、637.66亿元、959.33亿元。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买入；目标价未披露</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2026—2028年EPS分别为29.35元、55.61元、74.56元；归母净利润分别为345.75亿元、655.01亿元、878.31亿元。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买入；目标价未披露</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2026—2028年EPS分别为30.32元、55.33元、69.26元；归母净利润分别为354.70亿元、647.20亿元、810.13亿元。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买入；目标价未披露</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2026—2028年EPS分别为31.25元、62.35元、93.49元；归母净利润分别为365.49亿元、729.29亿元、1093.56亿元。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招银国际/招银证券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增持；目标价未披露</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2026—2027年EPS分别为32.41元、53.83元；归母净利润约360.1亿元、598.1亿元。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交银国际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买入；目标价1488元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预计2026—2028年营业收入分别为970.3亿元、1568.1亿元、2078.8亿元。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买入；目标价2645元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预计2026—2028年营业收入分别为1319亿元、2767亿元、4178亿元，净利润分别为404亿元、869亿元、1371亿元。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买入；目标价1325元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公开目标价样本。</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CLSA</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买入；目标价1604元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公开目标价样本。</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野村东方国际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买入；目标价1375元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公开目标价样本。</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美银证券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买入；目标价1650元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2026年6月11日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此前给出的2028年预测为营业收入2947.61亿元、净利润1035.13亿元、EPS 93.16元。</w:t>
            </w:r>
          </w:p>
        </w:tc>
      </w:tr>
    </w:tbl>
    <w:p>
      <w:pPr>
        <w:spacing w:before="200"/>
      </w:pPr>
    </w:p>
    <w:p>
      <w:pPr>
        <w:spacing w:after="160" w:line="300"/>
      </w:pPr>
      <w:r>
        <w:rPr>
          <w:sz w:val="22"/>
          <w:szCs w:val="22"/>
        </w:rPr>
        <w:t xml:space="preserve">截至2026年9月11日，公司收盘价926.00元，上涨4.03%，总市值约10907.4亿元，流通市值约10278.0亿元。不同数据源显示PE-TTM约51—53倍、扣非PE约55.02倍、PB约25—27倍；理杏仁数据显示PE-TTM约51.26倍，历史分位约48.48%，20%分位约30.78倍、中位数约52.04倍、80%分位约74.48倍。按30家机构平均EPS预测及926元收盘价简单计算，2026E、2027E、2028E PE分别约32.2倍、17.7倍和12.4倍；该计算不考虑后续股本变化，也不是公司官方预测。部分机构预测对应的动态估值为：兴业证券2026—2028年约31.4倍、17.1倍、11.4倍；国盛证券约31.5倍、16.7倍、12.4倍；天风证券约30.3倍、12.2倍、8.0倍。公司当前静态或TTM估值不低，但若机构盈利预测兑现，动态PE将随利润增长快速下降。市场目标价样本约为1325—2645元，Investing.com汇总的未来12个月平均目标价为1392.11元，最高2645元、最低430元，但其分析师及评级数量存在统计口径不一致，平均目标价仅供参考。主要风险包括2027—2028年盈利预测分歧较大、经营现金流弱于净利润增速、存货及应收账款增长和资本开支对现金流的占用，以及海外客户和AI数据中心资本开支周期、汇率、贸易政策和高端光模块价格变化带来的业绩不确定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公司启动大额股份回购，累计回购金额约28.20亿元</w:t>
      </w:r>
    </w:p>
    <w:p>
      <w:pPr>
        <w:spacing w:after="160" w:line="300"/>
      </w:pPr>
      <w:r>
        <w:rPr>
          <w:sz w:val="22"/>
          <w:szCs w:val="22"/>
        </w:rPr>
        <w:t xml:space="preserve">2026年8月31日，中际旭创第六届董事会第四次会议审议通过股份回购方案，并于2026年9月1日披露回购方案及回购报告书。公司拟使用自有资金或自筹资金回购A股股份，回购金额不低于40亿元、不超过80亿元，回购价格不超过1200元/股，期限为董事会审议通过之日起不超过12个月。按1200元/股测算，预计回购333.33万股至666.67万股，占公司截至2026年8月31日A股和H股合计总股本约0.28%至0.57%。回购股份拟用于员工持股计划或股权激励计划，若完成后36个月内未使用完毕，未使用部分将依法注销。截至2026年9月11日，按公开披露的逐日数据粗略汇总，公司累计回购约325.51万股，累计支付金额约28.20亿元；该金额为估算值，最终以公司后续正式回购进展公告为准。</w:t>
      </w:r>
    </w:p>
    <w:p>
      <w:pPr>
        <w:pStyle w:val="Heading2"/>
        <w:spacing w:after="120" w:before="240"/>
      </w:pPr>
      <w:r>
        <w:rPr>
          <w:b/>
          <w:bCs/>
          <w:color w:val="2E74B5"/>
          <w:sz w:val="24"/>
          <w:szCs w:val="24"/>
        </w:rPr>
        <w:t xml:space="preserve">4.2 回购执行进度较快，尚未直接形成股份注销</w:t>
      </w:r>
    </w:p>
    <w:p>
      <w:pPr>
        <w:spacing w:after="160" w:line="300"/>
      </w:pPr>
      <w:r>
        <w:rPr>
          <w:sz w:val="22"/>
          <w:szCs w:val="22"/>
        </w:rPr>
        <w:t xml:space="preserve">公司于2026年9月1日至9月11日持续实施回购：9月1日首次回购37.41万股，支付金额3.184亿元；9月2日回购约35.84万股，金额约2.95亿元；9月3日回购约23.31万股，金额约1.90亿元；9月4日回购61.96万股，金额约5.10亿元；9月8日回购约43.65万股，金额约3.95亿元；9月9日回购239,022股，支付金额216,999,975.62元；9月10日回购666,195股，支付金额约5.97亿元；9月11日回购328,200股，支付金额297,857,743元。按40亿元回购下限计算，截至9月11日已完成约70.5%；按80亿元上限计算，已完成约35.3%。回购股份当前主要作为库存股持有，尚未直接形成注销或立即改变股本结构，后续对每股收益和股本结构的影响取决于员工持股或股权激励计划的实施情况。</w:t>
      </w:r>
    </w:p>
    <w:p>
      <w:pPr>
        <w:pStyle w:val="Heading2"/>
        <w:spacing w:after="120" w:before="240"/>
      </w:pPr>
      <w:r>
        <w:rPr>
          <w:b/>
          <w:bCs/>
          <w:color w:val="2E74B5"/>
          <w:sz w:val="24"/>
          <w:szCs w:val="24"/>
        </w:rPr>
        <w:t xml:space="preserve">4.3 实际控制人新增质押及解除质押，整体质押比例较低</w:t>
      </w:r>
    </w:p>
    <w:p>
      <w:pPr>
        <w:spacing w:after="160" w:line="300"/>
      </w:pPr>
      <w:r>
        <w:rPr>
          <w:sz w:val="22"/>
          <w:szCs w:val="22"/>
        </w:rPr>
        <w:t xml:space="preserve">2026年9月2日，公司披露实际控制人王伟修于2026年8月31日向招商证券质押553,000股、于2026年9月1日向华泰证券质押175,000股，合计质押728,000股，占其持股的1.04%、占公司总股本约0.06%，用途均为偿还债务。截至2026年9月1日，王伟修累计质押2,078,000股，占其持股2.98%；中际控股累计质押4,600,000股；王伟修及其一致行动人合计质押6,678,000股，占合计持股3.45%。2026年9月4日，公司披露王伟修解除质押1,350,000股。截至2026年9月3日，王伟修及其一致行动人合计质押5,328,000股，占合计持股2.76%。</w:t>
      </w:r>
    </w:p>
    <w:p>
      <w:pPr>
        <w:pStyle w:val="Heading2"/>
        <w:spacing w:after="120" w:before="240"/>
      </w:pPr>
      <w:r>
        <w:rPr>
          <w:b/>
          <w:bCs/>
          <w:color w:val="2E74B5"/>
          <w:sz w:val="24"/>
          <w:szCs w:val="24"/>
        </w:rPr>
        <w:t xml:space="preserve">4.4 控股股东解除质押，特定股东新增及解除质押并存</w:t>
      </w:r>
    </w:p>
    <w:p>
      <w:pPr>
        <w:spacing w:after="160" w:line="300"/>
      </w:pPr>
      <w:r>
        <w:rPr>
          <w:sz w:val="22"/>
          <w:szCs w:val="22"/>
        </w:rPr>
        <w:t xml:space="preserve">2026年9月8日，公司披露控股股东山东中际投资控股有限公司解除质押2,000,000股。截至公告日，中际控股累计质押2,600,000股，占其持股2.14%；中际控股、王伟修及王晓东合计累计质押3,328,000股，占合计持股1.72%。同日，苏州益兴福企业管理中心（有限合伙）新增质押1,048,000股，其中700,000股质押给中信证券、348,000股质押给华泰证券；另有200,000股于2026年9月7日解除质押。交易后，益兴福累计质押8,902,000股，占其持股19.09%；益兴福及其一致行动人合计质押12,432,000股，占合计持股13.03%。控股股东及实际控制人整体质押比例不高，但益兴福单一主体质押比例相对较高，后续需关注补充质押、平仓风险及股东资金安排变化。</w:t>
      </w:r>
    </w:p>
    <w:p>
      <w:pPr>
        <w:pStyle w:val="Heading2"/>
        <w:spacing w:after="120" w:before="240"/>
      </w:pPr>
      <w:r>
        <w:rPr>
          <w:b/>
          <w:bCs/>
          <w:color w:val="2E74B5"/>
          <w:sz w:val="24"/>
          <w:szCs w:val="24"/>
        </w:rPr>
        <w:t xml:space="preserve">4.5 公司拟向控股子公司深度智冷提供不超过5100万元财务资助</w:t>
      </w:r>
    </w:p>
    <w:p>
      <w:pPr>
        <w:spacing w:after="160" w:line="300"/>
      </w:pPr>
      <w:r>
        <w:rPr>
          <w:sz w:val="22"/>
          <w:szCs w:val="22"/>
        </w:rPr>
        <w:t xml:space="preserve">2026年9月4日，中际旭创披露拟向控股子公司广东深度智冷科技有限公司提供不超过5100万元财务资助，方式为资金拆借，年利率2.70%，期限12个月，资金来源为自有资金或自筹资金，主要用于深度智冷生产经营。深度智冷由中际旭创持股51%，纳入合并报表范围。截至2026年6月30日，深度智冷资产总额9571.51万元、负债总额2362.91万元、所有者权益7208.60万元；2026年上半年营业收入1737.51万元、净利润亏损1924.09万元。广东东阳光液冷科技有限公司持有深度智冷49%股权，拟按相同利率提供不超过4900万元财务资助，但仍需履行内部审批程序，存在不确定性。该事项不构成重大资产重组，按公司披露无需提交董事会及股东会审议。</w:t>
      </w:r>
    </w:p>
    <w:p>
      <w:pPr>
        <w:pStyle w:val="Heading2"/>
        <w:spacing w:after="120" w:before="240"/>
      </w:pPr>
      <w:r>
        <w:rPr>
          <w:b/>
          <w:bCs/>
          <w:color w:val="2E74B5"/>
          <w:sz w:val="24"/>
          <w:szCs w:val="24"/>
        </w:rPr>
        <w:t xml:space="preserve">4.6 拟受让中石科技10.47%股份，协议转让尚未完成过户</w:t>
      </w:r>
    </w:p>
    <w:p>
      <w:pPr>
        <w:spacing w:after="160" w:line="300"/>
      </w:pPr>
      <w:r>
        <w:rPr>
          <w:sz w:val="22"/>
          <w:szCs w:val="22"/>
        </w:rPr>
        <w:t xml:space="preserve">2026年8月13日，中际旭创与北京中石伟业科技股份有限公司控股股东吴晓宁、叶露和HAN WU签署股份转让协议，拟以现金方式受让中石科技31,372,504股无限售流通股，占中石科技总股本10.47%，转让价格55.70元/股，交易总价款为1,747,448,473元，约17.47亿元。交易完成后，中际旭创将成为中石科技持股5%以上股东。投资资金来源为自有资金或自筹资金，投资目的主要是加强双方在先进热管理、功能材料等领域的产业链协同。协议转让尚需经深圳证券交易所合规性审核，并在中国结算深圳分公司办理过户。截至2026年9月14日，暂未检索到股份过户完成公告，因此目前应按协议已签署、交易进行中处理。</w:t>
      </w:r>
    </w:p>
    <w:p>
      <w:pPr>
        <w:pStyle w:val="Heading2"/>
        <w:spacing w:after="120" w:before="240"/>
      </w:pPr>
      <w:r>
        <w:rPr>
          <w:b/>
          <w:bCs/>
          <w:color w:val="2E74B5"/>
          <w:sz w:val="24"/>
          <w:szCs w:val="24"/>
        </w:rPr>
        <w:t xml:space="preserve">4.7 2026年上半年业绩保持高增长，经营现金流同比下降</w:t>
      </w:r>
    </w:p>
    <w:p>
      <w:pPr>
        <w:spacing w:after="160" w:line="300"/>
      </w:pPr>
      <w:r>
        <w:rPr>
          <w:sz w:val="22"/>
          <w:szCs w:val="22"/>
        </w:rPr>
        <w:t xml:space="preserve">公司2026年8月22日披露的半年度报告显示，2026年上半年营业收入417.78亿元，同比增长182.49%；归属于上市公司股东的净利润136.51亿元，同比增长241.70%；经营活动现金流量净额17.997亿元，同比下降44.08%。上述数据属于已披露半年度报告数据，并非2026年9月新增业绩预告，但可能构成公司快速回购及产业链投资安排的背景。</w:t>
      </w:r>
    </w:p>
    <w:p>
      <w:pPr>
        <w:pStyle w:val="Heading2"/>
        <w:spacing w:after="120" w:before="240"/>
      </w:pPr>
      <w:r>
        <w:rPr>
          <w:b/>
          <w:bCs/>
          <w:color w:val="2E74B5"/>
          <w:sz w:val="24"/>
          <w:szCs w:val="24"/>
        </w:rPr>
        <w:t xml:space="preserve">4.8 9月暂未发现新的业绩预告、监管问询或重大并购公告</w:t>
      </w:r>
    </w:p>
    <w:p>
      <w:pPr>
        <w:spacing w:after="160" w:line="300"/>
      </w:pPr>
      <w:r>
        <w:rPr>
          <w:sz w:val="22"/>
          <w:szCs w:val="22"/>
        </w:rPr>
        <w:t xml:space="preserve">截至2026年9月14日，按“中际旭创”“300308”“2026年9月”“业绩预告”“监管”“问询”“并购”“减持”等关键词检索，暂未发现公司在2026年9月发布新的业绩预告、业绩快报、监管处罚、监管问询回复或新的重大并购公告。9月公告主要集中于股份回购、股东质押及解质押、向控股子公司提供财务资助以及H股回购披露。公司首次回购公告明确说明，回购时间及交易安排符合深交所上市公司自律监管指引第9号等相关规定。</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300308 / 中际旭创</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上市交易所</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深圳证券交易所创业板</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9月14日收盘价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873.00元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约1.03万亿元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约9689.77亿元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约50.28倍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约25.80倍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9月11日成交额/换手率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299.74亿元 / 2.95%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约1068.12元 / 336.00元，截至2026年9月11日</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均线（截至2026年9月14日）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MA5 879.48元；MA10 897.96元；MA20 901.69元；MA50 871.45元；MA100 873.88元；MA200 913.18元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收盘价873元低于MA5、MA10、MA20及MA200，接近MA50和MA100；短线价格偏弱，880~902元为均线密集压力区，913元附近为较重要的中期趋势压力位。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3.29，页面信号为“买入”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MACD仍处于正值附近，中期动能尚未完全转空；但数值较低，且价格已跌破多条短期均线，单独不足以确认短线趋势转强。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42.515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位于50以下，反映短线动能偏弱，但尚未达到传统意义上的严重超卖区间。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StochRSI(14) / Williams %R</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4.729 / -89.011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已显示短线超卖特征，存在技术性反抽可能，但超卖不等同于趋势反转。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布林带（截至2026年9月8日）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上轨约992.43元；中轨约888.50元；下轨约784.57元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该组数据并非9月14日实时值，仅作为近期波动区间参考；9月14日收盘价低于中轨，短线弱势特征增强。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8月中旬以来约800~1015元区间大幅震荡；9月2日822.40元，9月7日898.46元，9月11日926.00元，9月14日873.00元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9月初快速反弹后出现回撤，显示多空分歧较大，价格对行业消息、资金流向及高估值预期较敏感。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9月11日净买入约26.22亿~31.20亿元；9月2日净卖出约30.66亿元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不同平台因资金分类和计算口径不同存在差异；整体呈现急跌时大额流出、反弹时快速回流的高波动特征，资金承接持续性仍需观察。</w:t>
            </w:r>
          </w:p>
        </w:tc>
      </w:tr>
    </w:tbl>
    <w:p>
      <w:pPr>
        <w:spacing w:before="200"/>
      </w:pPr>
    </w:p>
    <w:p>
      <w:pPr>
        <w:spacing w:after="160" w:line="300"/>
      </w:pPr>
      <w:r>
        <w:rPr>
          <w:sz w:val="22"/>
          <w:szCs w:val="22"/>
        </w:rPr>
        <w:t xml:space="preserve">截至2026年9月14日，中际旭创收盘873元，较9月11日收盘926元回落，短线重新跌破MA5、MA10和MA20，但仍接近MA50、MA100。MACD保持正值，RSI位于50以下，StochRSI及Williams %R显示短线超卖，技术面呈现“价格偏弱、MACD尚未完全转空、存在反抽可能但趋势未获确认”的分化状态。近期成交额主要位于155亿~300亿元，情绪活跃时可升至350亿元以上；9月11日放量反弹后9月14日重新回落，说明筹码稳定性和资金承接仍需进一步验证。</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风险提示：以下内容仅为基于截至2026年9月14日可获得行情、历史价格、技术指标和资金数据的主观情景推演，不构成投资建议，也不构成对未来实际走势的保证。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880~902元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对应MA5约879.48元、经典枢轴R1约880.22元、MA10约897.96元及MA20约901.69元。重新站稳880元并突破900~902元，短线弱势结构才可能得到修复；若在该区间受阻，说明短线抛压仍较明显。</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862~872元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对应经典枢轴S1约866.68元、斐波纳契S1约870.44元、卡玛利拉支撑约867.58~870.06元及MA50约871.45元。若有效跌破862元，短线可能继续测试850元附近。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850~860元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对应经典枢轴S2约862.07元、S3约853.14元、Woodie支撑约850.98~860.99元及近期价格密集区域。若850元附近被放量跌破，下一观察支撑可能下移至800~820元区域，接近9月初低点及布林下轨附近参考区间。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中期压力参考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913~934元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对应MA200约913.18元、MA100指数移动均线约887.07元及MA200指数移动均线约933.85元。913元附近为重要中期趋势压力，若不能放量突破，反弹仍可能属于技术性修复。</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和资金结构的主观启发式判断，不是统计概率）：价格区间约850~900元。触发条件包括股价在850~872元获得支撑，成交额维持约150亿~280亿元近期常态区间，未出现行业板块明显退潮或公司重大利空，且反弹暂时无法有效突破900~902元。对应走势可能是急跌后弱反弹、反弹后再震荡。</w:t>
      </w:r>
    </w:p>
    <w:p>
      <w:pPr>
        <w:pStyle w:val="ListParagraph"/>
        <w:numPr>
          <w:ilvl w:val="0"/>
          <w:numId w:val="2"/>
        </w:numPr>
        <w:spacing w:after="80" w:line="280"/>
      </w:pPr>
      <w:r>
        <w:rPr>
          <w:sz w:val="22"/>
          <w:szCs w:val="22"/>
        </w:rPr>
        <w:t xml:space="preserve">偏弱下行（权重中等；为主观启发式判断，不是统计概率）：价格区间约800~850元。触发条件包括有效跌破850~860元支撑带，单日成交额放大至300亿元以上且收盘接近低位，光模块、CPO或算力硬件板块同步走弱，及主力资金重新出现连续净流出。若发生，下一观察区域为800~820元；若800元也被放量跌破，短线技术形态将进一步转弱。</w:t>
      </w:r>
    </w:p>
    <w:p>
      <w:pPr>
        <w:pStyle w:val="ListParagraph"/>
        <w:numPr>
          <w:ilvl w:val="0"/>
          <w:numId w:val="2"/>
        </w:numPr>
        <w:spacing w:after="80" w:line="280"/>
      </w:pPr>
      <w:r>
        <w:rPr>
          <w:sz w:val="22"/>
          <w:szCs w:val="22"/>
        </w:rPr>
        <w:t xml:space="preserve">反弹走强（权重偏低；为主观启发式判断，不是统计概率）：价格区间约900~940元。触发条件包括重新收复880元并放量突破900~902元，单日成交额持续高于近期常态上沿、达到约300亿元以上，主力资金重新连续净流入，光模块、CPO或AI算力硬件板块联动上涨，并进一步突破913元附近MA200。若量能无法同步放大，900元以上反弹仍可能冲高回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成交额约155亿~376亿元，换手率约1.56%~3.89%；其中9月7日成交额376.35亿元、换手率3.89%，9月11日成交额299.74亿元、换手率2.95%，9月10日成交额154.91亿元、换手率1.56%。该股票属于大市值、高流动性股票，但短期波动幅度较大。股东结构数据截至2026年6月30日：前十大股东合计持股约33.77%，山东中际投资控股有限公司与王伟修等核心控股股东及一致行动平台合计持股约24.19%；股东户数较2026年3月31日增加约33.20%。前十大股东中既有控股股东、实际控制人及员工/管理平台，也有香港中央结算、通信设备ETF和券商等机构或金融账户。由于股东数据存在季度滞后，不能完全代表2026年9月的实际筹码结构。9月14日完整成交额和换手率尚未检索到可交叉验证数据，因此不作确定性表述。</w:t>
      </w:r>
    </w:p>
    <w:p>
      <w:pPr>
        <w:spacing w:after="160" w:line="300"/>
      </w:pPr>
      <w:r>
        <w:rPr>
          <w:sz w:val="22"/>
          <w:szCs w:val="22"/>
        </w:rPr>
        <w:t xml:space="preserve">若后续单日成交额持续放大至300亿元以上，同时股价收盘站稳900~902元，可作为反弹得到量能确认的观察信号；若成交额放大但股价仍收于850元以下，则更偏向放量换手或资金分歧，而非明确的上行确认。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观察850~860元强支撑区是否出现缩量止跌，若放量跌破则关注800~820元区域。</w:t>
      </w:r>
    </w:p>
    <w:p>
      <w:pPr>
        <w:pStyle w:val="ListParagraph"/>
        <w:numPr>
          <w:ilvl w:val="0"/>
          <w:numId w:val="2"/>
        </w:numPr>
        <w:spacing w:after="80" w:line="280"/>
      </w:pPr>
      <w:r>
        <w:rPr>
          <w:sz w:val="22"/>
          <w:szCs w:val="22"/>
        </w:rPr>
        <w:t xml:space="preserve">观察880~902元均线密集区能否重新收复，以及900元以上运行时成交额能否持续超过300亿元。</w:t>
      </w:r>
    </w:p>
    <w:p>
      <w:pPr>
        <w:pStyle w:val="ListParagraph"/>
        <w:numPr>
          <w:ilvl w:val="0"/>
          <w:numId w:val="2"/>
        </w:numPr>
        <w:spacing w:after="80" w:line="280"/>
      </w:pPr>
      <w:r>
        <w:rPr>
          <w:sz w:val="22"/>
          <w:szCs w:val="22"/>
        </w:rPr>
        <w:t xml:space="preserve">观察主力资金是否由单日流入转为连续性净流入，并结合光模块、CPO及AI算力硬件板块表现判断资金承接。</w:t>
      </w:r>
    </w:p>
    <w:p>
      <w:pPr>
        <w:pStyle w:val="ListParagraph"/>
        <w:numPr>
          <w:ilvl w:val="0"/>
          <w:numId w:val="2"/>
        </w:numPr>
        <w:spacing w:after="80" w:line="280"/>
      </w:pPr>
      <w:r>
        <w:rPr>
          <w:sz w:val="22"/>
          <w:szCs w:val="22"/>
        </w:rPr>
        <w:t xml:space="preserve">以上为观察思路，非操作指令。</w:t>
      </w:r>
    </w:p>
    <w:p>
      <w:pPr>
        <w:spacing w:after="200"/>
      </w:pPr>
      <w:r>
        <w:rPr>
          <w:i/>
          <w:iCs/>
          <w:color w:val="595959"/>
          <w:sz w:val="18"/>
          <w:szCs w:val="18"/>
        </w:rPr>
        <w:t xml:space="preserve">以上情景推演基于2026年9月14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光模块行业正由传统电信光模块逐步转向数据中心和AI算力网络，数通市场已超过电信市场并成为主要增长来源。AI训练、推理和数据中心互联需求推动400G、800G及1.6T光模块成为主要技术升级方向。行业竞争核心包括高速率产品研发、光芯片和光器件适配、高速信号完整性、热管理、低功耗设计、新产品量产良率、自动化制造、客户认证、全球交付及质量管理。</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数据中心客户对可靠性、交付能力和产品迭代速度要求提高，行业头部集中度提升。</w:t>
      </w:r>
    </w:p>
    <w:p>
      <w:pPr>
        <w:pStyle w:val="ListParagraph"/>
        <w:numPr>
          <w:ilvl w:val="0"/>
          <w:numId w:val="2"/>
        </w:numPr>
        <w:spacing w:after="80" w:line="280"/>
      </w:pPr>
      <w:r>
        <w:rPr>
          <w:sz w:val="22"/>
          <w:szCs w:val="22"/>
        </w:rPr>
        <w:t xml:space="preserve">技术代际变化较快，行业从100G、200G向400G、800G和1.6T升级，提前进入客户供应链的厂商更易获得持续订单。</w:t>
      </w:r>
    </w:p>
    <w:p>
      <w:pPr>
        <w:pStyle w:val="ListParagraph"/>
        <w:numPr>
          <w:ilvl w:val="0"/>
          <w:numId w:val="2"/>
        </w:numPr>
        <w:spacing w:after="80" w:line="280"/>
      </w:pPr>
      <w:r>
        <w:rPr>
          <w:sz w:val="22"/>
          <w:szCs w:val="22"/>
        </w:rPr>
        <w:t xml:space="preserve">中国厂商在高速光模块制造环节具备较强规模和成本优势，中际旭创、新易盛、光迅科技等参与全球竞争。</w:t>
      </w:r>
    </w:p>
    <w:p>
      <w:pPr>
        <w:pStyle w:val="ListParagraph"/>
        <w:numPr>
          <w:ilvl w:val="0"/>
          <w:numId w:val="2"/>
        </w:numPr>
        <w:spacing w:after="80" w:line="280"/>
      </w:pPr>
      <w:r>
        <w:rPr>
          <w:sz w:val="22"/>
          <w:szCs w:val="22"/>
        </w:rPr>
        <w:t xml:space="preserve">海外厂商仍掌握部分上游核心芯片和器件能力，Coherent、Lumentum等在芯片、器件和模块领域具有技术积累。</w:t>
      </w:r>
    </w:p>
    <w:p>
      <w:pPr>
        <w:pStyle w:val="ListParagraph"/>
        <w:numPr>
          <w:ilvl w:val="0"/>
          <w:numId w:val="2"/>
        </w:numPr>
        <w:spacing w:after="80" w:line="280"/>
      </w:pPr>
      <w:r>
        <w:rPr>
          <w:sz w:val="22"/>
          <w:szCs w:val="22"/>
        </w:rPr>
        <w:t xml:space="preserve">客户集中度和供应链安全是行业共同风险。公司年报援引LightCounting排名，中际旭创在2023年度全球光模块厂商排名中位列第一；该排名为公司年报引用的第三方行业排名，正式使用时仍建议取得LightCounting原始报告交叉核实。</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新易盛（300502）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最直接的A股竞争对手之一，主营高速光模块，覆盖数据中心、AI算力网络和电信市场。</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2024年光模块产品收入约85.99亿元，占营业收入99.45%；点对点光模块产能约1,060万只，毛利率约44.88%。规模小于中际旭创，但业务更聚焦光模块，在高速数通光模块和北美客户拓展方面增长较快。</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光迅科技（002281）</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主营光电子器件、模块和子系统，覆盖光芯片、器件、模块及子系统，业务涉及电信传输、无线接入和数据中心。</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产业链垂直整合程度较高，电信业务基础和国内客户资源较强；业务结构相对多元，与中际旭创在海外大型云数据中心客户收入占比及高速数通业务集中度方面存在差异。</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华工科技（000988）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“联接业务”涵盖光通信芯片、器件、模块和子系统，同时经营激光加工、传感器等业务。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2024年联接业务收入39.75亿元，同比增长23.75%，已具备200G、400G、800G高速光模块批量交付能力，并布局硅光、LPO、1.6T。光模块业务体量小于中际旭创和新易盛，但在光电子垂直整合、国内客户和硅光产品方面具备一定竞争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联特科技（301205）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主营高速光模块、光引擎和ODM/JDM服务，面向电信和数据中心市场。</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武汉、马来西亚、美国、新加坡设有制造、研发或商务运营中心；2024年10G及以上光模块收入同比增长59.01%，高速率光模块生产项目于2024年第三季度达到预计可使用状态。规模明显小于中际旭创，海外制造布局和ODM/JDM模式具有差异化。</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Coherent、Lumentum等海外厂商</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全球光通信器件、光模块及光芯片领域的重要国际竞争者。</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在光芯片、激光器、器件和高端光通信产品上具有长期技术积累，业务范围更广，不能与中际旭创进行简单的整体收入规模比较。</w:t>
            </w:r>
          </w:p>
        </w:tc>
      </w:tr>
    </w:tbl>
    <w:p>
      <w:pPr>
        <w:spacing w:before="200"/>
      </w:pPr>
    </w:p>
    <w:p>
      <w:pPr>
        <w:spacing w:after="160" w:line="300"/>
      </w:pPr>
      <w:r>
        <w:rPr>
          <w:sz w:val="22"/>
          <w:szCs w:val="22"/>
        </w:rPr>
        <w:t xml:space="preserve">中际旭创相较新易盛的优势在于业务规模、产品覆盖和全球化制造交付能力；相较光迅科技和华工科技，其业务更聚焦高速光模块及海外大型云数据中心客户，但产业链垂直整合程度并非最强；相较联特科技，公司规模、客户认证和批量交付能力更突出；相较Coherent、Lumentum等海外厂商，公司主要竞争优势在于规模化制造、成本控制、快速量产和中国供应链配套能力。行业比较涉及部分竞争对手的2024年数据，均按研究纪要所列口径，未补充未出现的数据。</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客户集中度较高：2024年前五大客户销售金额占年度销售总额74.74%，前三大客户合计约62.50%；若核心客户调整采购规模、产品代际或供应商份额，公司收入和产能利用率可能受到较大影响。</w:t>
      </w:r>
    </w:p>
    <w:p>
      <w:pPr>
        <w:pStyle w:val="ListParagraph"/>
        <w:numPr>
          <w:ilvl w:val="0"/>
          <w:numId w:val="2"/>
        </w:numPr>
        <w:spacing w:after="80" w:line="280"/>
      </w:pPr>
      <w:r>
        <w:rPr>
          <w:sz w:val="22"/>
          <w:szCs w:val="22"/>
        </w:rPr>
        <w:t xml:space="preserve">海外及美国收入依赖明显：2024年境外收入占营业收入86.81%，美国收入约占总收入60.5%；北美云厂商资本开支变化、贸易政策和地缘政治因素可能影响订单、交付及收入确认。</w:t>
      </w:r>
    </w:p>
    <w:p>
      <w:pPr>
        <w:pStyle w:val="ListParagraph"/>
        <w:numPr>
          <w:ilvl w:val="0"/>
          <w:numId w:val="2"/>
        </w:numPr>
        <w:spacing w:after="80" w:line="280"/>
      </w:pPr>
      <w:r>
        <w:rPr>
          <w:sz w:val="22"/>
          <w:szCs w:val="22"/>
        </w:rPr>
        <w:t xml:space="preserve">经营现金流弱于利润增长：2026年上半年归母净利润136.51亿元，而经营活动现金流量净额仅17.997亿元，同比下降44.08%；应收账款、存货和产能建设投入若继续占用资金，可能导致利润增长未能同步转化为现金。</w:t>
      </w:r>
    </w:p>
    <w:p>
      <w:pPr>
        <w:pStyle w:val="ListParagraph"/>
        <w:numPr>
          <w:ilvl w:val="0"/>
          <w:numId w:val="2"/>
        </w:numPr>
        <w:spacing w:after="80" w:line="280"/>
      </w:pPr>
      <w:r>
        <w:rPr>
          <w:sz w:val="22"/>
          <w:szCs w:val="22"/>
        </w:rPr>
        <w:t xml:space="preserve">上游关键物料存在外部依赖：50G及以上速率EML等部分高端光芯片仍较多依赖进口，公司对部分高端光芯片、核心电子芯片和高性能光器件并不具备完全定价权；若供应受限或采购成本上升，可能压缩毛利率和交付能力。</w:t>
      </w:r>
    </w:p>
    <w:p>
      <w:pPr>
        <w:pStyle w:val="ListParagraph"/>
        <w:numPr>
          <w:ilvl w:val="0"/>
          <w:numId w:val="2"/>
        </w:numPr>
        <w:spacing w:after="80" w:line="280"/>
      </w:pPr>
      <w:r>
        <w:rPr>
          <w:sz w:val="22"/>
          <w:szCs w:val="22"/>
        </w:rPr>
        <w:t xml:space="preserve">高端产品迭代和盈利预测存在不确定性：公司未来增长较依赖800G、1.6T及更高代际产品，但机构对2027—2028年收入和净利润预测区间较宽；若新产品认证、量产良率或客户导入不及预期，业绩增速和估值消化可能低于市场预期。</w:t>
      </w:r>
    </w:p>
    <w:p>
      <w:pPr>
        <w:pStyle w:val="ListParagraph"/>
        <w:numPr>
          <w:ilvl w:val="0"/>
          <w:numId w:val="2"/>
        </w:numPr>
        <w:spacing w:after="80" w:line="280"/>
      </w:pPr>
      <w:r>
        <w:rPr>
          <w:sz w:val="22"/>
          <w:szCs w:val="22"/>
        </w:rPr>
        <w:t xml:space="preserve">估值和股价波动风险较高：截至2026年9月14日PE-TTM约50.28倍、PB约25.80倍，股价当日下跌5.72%，且收盘价低于多条短中期均线；若市场下调AI数据中心景气或公司盈利预期，估值压缩可能放大股价波动。</w:t>
      </w:r>
    </w:p>
    <w:p>
      <w:pPr>
        <w:pStyle w:val="ListParagraph"/>
        <w:numPr>
          <w:ilvl w:val="0"/>
          <w:numId w:val="2"/>
        </w:numPr>
        <w:spacing w:after="80" w:line="280"/>
      </w:pPr>
      <w:r>
        <w:rPr>
          <w:sz w:val="22"/>
          <w:szCs w:val="22"/>
        </w:rPr>
        <w:t xml:space="preserve">产业链投资及子公司经营存在执行风险：拟以约17.47亿元受让中石科技10.47%股份尚未完成过户；控股子公司深度智冷2026年上半年净利润亏损1924.09万元，公司拟提供不超过5100万元财务资助，相关投资协同和资金回收效果仍存在不确定性。</w:t>
      </w:r>
    </w:p>
    <w:p>
      <w:pPr>
        <w:pStyle w:val="ListParagraph"/>
        <w:numPr>
          <w:ilvl w:val="0"/>
          <w:numId w:val="2"/>
        </w:numPr>
        <w:spacing w:after="80" w:line="280"/>
      </w:pPr>
      <w:r>
        <w:rPr>
          <w:sz w:val="22"/>
          <w:szCs w:val="22"/>
        </w:rPr>
        <w:t xml:space="preserve">回购对每股收益的即时影响有限：公司回购股份当前主要作为库存股持有，尚未直接注销，后续拟用于员工持股或股权激励；若36个月内未使用部分依法注销，或实际实施安排与预期不同，回购对股本结构和每股收益的影响将存在差异。</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中际旭创的增长逻辑仍集中在AI数据中心和高速互联需求扩张，以及400G、800G、1.6T等高端产品的持续升级。2026年上半年收入和利润保持较高增速，且扣非利润占归母净利润约95.9%，说明本期利润增长主要来自主营业务。公司在规模制造、客户认证和全球交付方面具备竞争力，若高端产品放量、良率提升和成本控制能够延续，盈利规模仍有进一步扩张空间。</w:t>
      </w:r>
    </w:p>
    <w:p>
      <w:pPr>
        <w:spacing w:after="160" w:line="300"/>
      </w:pPr>
      <w:r>
        <w:rPr>
          <w:sz w:val="22"/>
          <w:szCs w:val="22"/>
        </w:rPr>
        <w:t xml:space="preserve">展望未来，增长的可持续性取决于AI数据中心资本开支、客户订单集中度、1.6T及后续产品导入节奏，以及公司对高端芯片和器件供应的保障能力。机构对2026—2028年盈利预测区间较宽，表明市场对产品放量速度和盈利能力存在较大分歧；在当前PE-TTM约50倍的估值水平下，业绩兑现、现金流改善和估值消化需要同步观察。</w:t>
      </w:r>
    </w:p>
    <w:p>
      <w:pPr>
        <w:spacing w:after="160" w:line="300"/>
      </w:pPr>
      <w:r>
        <w:rPr>
          <w:sz w:val="22"/>
          <w:szCs w:val="22"/>
        </w:rPr>
        <w:t xml:space="preserve">公司基本面高增长与短期技术面偏弱并存，9月14日股价位于850~900元观察区间内，880~902元为均线密集压力区域，850~860元为重要支撑参考。后续应重点跟踪经营现金流与利润的匹配程度、应收账款及存货占用、回购计划实际完成和股份后续用途，以及中石科技投资和深度智冷业务对主业资源配置的影响。</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中际旭创(300308)_上市公告明细_中际旭创：非公开发行股票上市公告书新浪财经_新浪网 — https://money.finance.sina.com.cn/corp/view/vISSUE_MarketBulletinDetail.php?id=5159000&amp;stockid=300308&amp;utm_source=openai</w:t>
      </w:r>
    </w:p>
    <w:p>
      <w:pPr>
        <w:spacing w:after="200"/>
      </w:pPr>
      <w:r>
        <w:rPr>
          <w:i/>
          <w:iCs/>
          <w:color w:val="595959"/>
          <w:sz w:val="18"/>
          <w:szCs w:val="18"/>
        </w:rPr>
        <w:t xml:space="preserve">https://static.cninfo.com.cn/finalpage/2025-04-21/1223155483.PDF — https://static.cninfo.com.cn/finalpage/2025-04-21/1223155483.PDF</w:t>
      </w:r>
    </w:p>
    <w:p>
      <w:pPr>
        <w:spacing w:after="200"/>
      </w:pPr>
      <w:r>
        <w:rPr>
          <w:i/>
          <w:iCs/>
          <w:color w:val="595959"/>
          <w:sz w:val="18"/>
          <w:szCs w:val="18"/>
        </w:rPr>
        <w:t xml:space="preserve">中际旭创(300308)_公司公告_中际旭创：2024年年度报告新浪财经_新浪网 — https://money.finance.sina.com.cn/corp/view/vCB_AllBulletinDetail.php?id=10911494&amp;stockid=300308&amp;utm_source=openai</w:t>
      </w:r>
    </w:p>
    <w:p>
      <w:pPr>
        <w:spacing w:after="200"/>
      </w:pPr>
      <w:r>
        <w:rPr>
          <w:i/>
          <w:iCs/>
          <w:color w:val="595959"/>
          <w:sz w:val="18"/>
          <w:szCs w:val="18"/>
        </w:rPr>
        <w:t xml:space="preserve">中际旭创(300308)_公司公告_中际旭创：2022年年度报告新浪财经_新浪网 — https://vip.stock.finance.sina.com.cn/corp/view/vCB_AllBulletinDetail.php?id=9049092&amp;stockid=300308&amp;utm_source=openai</w:t>
      </w:r>
    </w:p>
    <w:p>
      <w:pPr>
        <w:spacing w:after="200"/>
      </w:pPr>
      <w:r>
        <w:rPr>
          <w:i/>
          <w:iCs/>
          <w:color w:val="595959"/>
          <w:sz w:val="18"/>
          <w:szCs w:val="18"/>
        </w:rPr>
        <w:t xml:space="preserve">公司公告_新易盛：2024年年度审计报告新浪财经_新浪网 — https://vip.stock.finance.sina.com.cn/corp/view/vCB_AllBulletinDetail.php?id=10937485&amp;utm_source=openai</w:t>
      </w:r>
    </w:p>
    <w:p>
      <w:pPr>
        <w:spacing w:after="200"/>
      </w:pPr>
      <w:r>
        <w:rPr>
          <w:i/>
          <w:iCs/>
          <w:color w:val="595959"/>
          <w:sz w:val="18"/>
          <w:szCs w:val="18"/>
        </w:rPr>
        <w:t xml:space="preserve">公司公告_光迅科技：2024年年度报告摘要新浪财经_新浪网 — https://vip.stock.finance.sina.com.cn/corp/view/vCB_AllBulletinDetail.php?id=10945681&amp;utm_source=openai</w:t>
      </w:r>
    </w:p>
    <w:p>
      <w:pPr>
        <w:spacing w:after="200"/>
      </w:pPr>
      <w:r>
        <w:rPr>
          <w:i/>
          <w:iCs/>
          <w:color w:val="595959"/>
          <w:sz w:val="18"/>
          <w:szCs w:val="18"/>
        </w:rPr>
        <w:t xml:space="preserve">华工科技产业股份有限公司2024年年度报告 — https://www.100est.com/res/financial-report/r2024/SZ000988_202504111654915692.pdf?utm_source=openai</w:t>
      </w:r>
    </w:p>
    <w:p>
      <w:pPr>
        <w:spacing w:after="200"/>
      </w:pPr>
      <w:r>
        <w:rPr>
          <w:i/>
          <w:iCs/>
          <w:color w:val="595959"/>
          <w:sz w:val="18"/>
          <w:szCs w:val="18"/>
        </w:rPr>
        <w:t xml:space="preserve">联特科技(301205)_公司公告_联特科技：2024年年度报告新浪财经_新浪网 — https://money.finance.sina.com.cn/corp/view/vCB_AllBulletinDetail.php?id=10936687&amp;stockid=301205&amp;utm_source=openai</w:t>
      </w:r>
    </w:p>
    <w:p>
      <w:pPr>
        <w:spacing w:after="200"/>
      </w:pPr>
      <w:r>
        <w:rPr>
          <w:i/>
          <w:iCs/>
          <w:color w:val="595959"/>
          <w:sz w:val="18"/>
          <w:szCs w:val="18"/>
        </w:rPr>
        <w:t xml:space="preserve">中际旭创(300308.SZ)最新财报下载(PDF)_历史财报下载 - 前瞻眼 — https://stock.qianzhan.com/hs/sourcefiles_300308.sz.html?utm_source=openai</w:t>
      </w:r>
    </w:p>
    <w:p>
      <w:pPr>
        <w:spacing w:after="200"/>
      </w:pPr>
      <w:r>
        <w:rPr>
          <w:i/>
          <w:iCs/>
          <w:color w:val="595959"/>
          <w:sz w:val="18"/>
          <w:szCs w:val="18"/>
        </w:rPr>
        <w:t xml:space="preserve">证券代码：300308　　证券简称：中际旭创　　公告编号：2026-082 — https://static.cninfo.com.cn/finalpage/2026-08-22/1225491752.PDF?utm_source=openai</w:t>
      </w:r>
    </w:p>
    <w:p>
      <w:pPr>
        <w:spacing w:after="200"/>
      </w:pPr>
      <w:r>
        <w:rPr>
          <w:i/>
          <w:iCs/>
          <w:color w:val="595959"/>
          <w:sz w:val="18"/>
          <w:szCs w:val="18"/>
        </w:rPr>
        <w:t xml:space="preserve">Microsoft Word - 2026-081：中际旭创2026年半年度报告 — https://static.cninfo.com.cn/finalpage/2026-08-22/1225491753.PDF?utm_source=openai</w:t>
      </w:r>
    </w:p>
    <w:p>
      <w:pPr>
        <w:spacing w:after="200"/>
      </w:pPr>
      <w:r>
        <w:rPr>
          <w:i/>
          <w:iCs/>
          <w:color w:val="595959"/>
          <w:sz w:val="18"/>
          <w:szCs w:val="18"/>
        </w:rPr>
        <w:t xml:space="preserve">中际旭创股份有限公司2026年半年度报告摘要|上海证券报 — https://paper.cnstock.com/html/2026-08/22/content_2257941.htm?utm_source=openai</w:t>
      </w:r>
    </w:p>
    <w:p>
      <w:pPr>
        <w:spacing w:after="200"/>
      </w:pPr>
      <w:r>
        <w:rPr>
          <w:i/>
          <w:iCs/>
          <w:color w:val="595959"/>
          <w:sz w:val="18"/>
          <w:szCs w:val="18"/>
        </w:rPr>
        <w:t xml:space="preserve">中际旭创(300308)_公司公告_中际旭创：2026年一季度报告新浪财经_新浪网 — https://money.finance.sina.com.cn/corp/view/vCB_AllBulletinDetail.php?id=12101253&amp;stockid=300308&amp;utm_source=openai</w:t>
      </w:r>
    </w:p>
    <w:p>
      <w:pPr>
        <w:spacing w:after="200"/>
      </w:pPr>
      <w:r>
        <w:rPr>
          <w:i/>
          <w:iCs/>
          <w:color w:val="595959"/>
          <w:sz w:val="18"/>
          <w:szCs w:val="18"/>
        </w:rPr>
        <w:t xml:space="preserve">交银国际证券：下调中际旭创目标价至1488.0元，给予买入评级_股票频道_证券之星 — https://stock.stockstar.com/RB2026090200019049.shtml?utm_source=openai</w:t>
      </w:r>
    </w:p>
    <w:p>
      <w:pPr>
        <w:spacing w:after="200"/>
      </w:pPr>
      <w:r>
        <w:rPr>
          <w:i/>
          <w:iCs/>
          <w:color w:val="595959"/>
          <w:sz w:val="18"/>
          <w:szCs w:val="18"/>
        </w:rPr>
        <w:t xml:space="preserve">中际旭创股份有限公司 2025 年年度报告全文 — https://static.cninfo.com.cn/finalpage/2026-03-31/1225056459.PDF?utm_source=openai</w:t>
      </w:r>
    </w:p>
    <w:p>
      <w:pPr>
        <w:spacing w:after="200"/>
      </w:pPr>
      <w:r>
        <w:rPr>
          <w:i/>
          <w:iCs/>
          <w:color w:val="595959"/>
          <w:sz w:val="18"/>
          <w:szCs w:val="18"/>
        </w:rPr>
        <w:t xml:space="preserve">中际旭创(300308) 盈利预测_F10_同花顺金融服务网 — https://basic.10jqka.com.cn/144/300308/worth.html?utm_source=openai</w:t>
      </w:r>
    </w:p>
    <w:p>
      <w:pPr>
        <w:spacing w:after="200"/>
      </w:pPr>
      <w:r>
        <w:rPr>
          <w:i/>
          <w:iCs/>
          <w:color w:val="595959"/>
          <w:sz w:val="18"/>
          <w:szCs w:val="18"/>
        </w:rPr>
        <w:t xml:space="preserve">中际旭创(300308)-机构评级详细 — https://basic.10jqka.com.cn/mobile/300308/worth.html?utm_source=openai</w:t>
      </w:r>
    </w:p>
    <w:p>
      <w:pPr>
        <w:spacing w:after="200"/>
      </w:pPr>
      <w:r>
        <w:rPr>
          <w:i/>
          <w:iCs/>
          <w:color w:val="595959"/>
          <w:sz w:val="18"/>
          <w:szCs w:val="18"/>
        </w:rPr>
        <w:t xml:space="preserve">高盛最新研报：先发与规模优势显著 中际旭创12个月目标价2645元_新浪科技_新浪网 — https://finance.sina.com.cn/tech/roll/2026-09-07/doc-iniqymae5689137.shtml?utm_source=openai</w:t>
      </w:r>
    </w:p>
    <w:p>
      <w:pPr>
        <w:spacing w:after="200"/>
      </w:pPr>
      <w:r>
        <w:rPr>
          <w:i/>
          <w:iCs/>
          <w:color w:val="595959"/>
          <w:sz w:val="18"/>
          <w:szCs w:val="18"/>
        </w:rPr>
        <w:t xml:space="preserve">$中际旭创(SZ300308)$美银证券（Bo­fA）中际旭创研报·中文全文（2026-06-11）标题上调目标价至1650元：全栈光通信供应商，景气周期超预期基本信息- 机构：美银证券全球研究部- 日期：2026年6月11日- 标的：中际旭创（300308.SZ）- 评级：维持买入- 原目标价：1100元 → 新目标价：16 ​_新浪新闻 — https://www.sina.cn/news/detail/5308810793321393.html?utm_source=openai</w:t>
      </w:r>
    </w:p>
    <w:p>
      <w:pPr>
        <w:spacing w:after="200"/>
      </w:pPr>
      <w:r>
        <w:rPr>
          <w:i/>
          <w:iCs/>
          <w:color w:val="595959"/>
          <w:sz w:val="18"/>
          <w:szCs w:val="18"/>
        </w:rPr>
        <w:t xml:space="preserve">中际旭创(300308)股票分析师一致预期_市场情绪_英为财情Investing.com — https://cn.investing.com/equities/shandong-zhongji-electrical-consensus-estimates?utm_source=openai</w:t>
      </w:r>
    </w:p>
    <w:p>
      <w:pPr>
        <w:spacing w:after="200"/>
      </w:pPr>
      <w:r>
        <w:rPr>
          <w:i/>
          <w:iCs/>
          <w:color w:val="595959"/>
          <w:sz w:val="18"/>
          <w:szCs w:val="18"/>
        </w:rPr>
        <w:t xml:space="preserve">中际旭创(300308)股票历史数据:历史行情,价格,走势图表_英为财情Investing.com — https://cn.investing.com/equities/shandong-zhongji-electrical-historical-data?utm_source=openai</w:t>
      </w:r>
    </w:p>
    <w:p>
      <w:pPr>
        <w:spacing w:after="200"/>
      </w:pPr>
      <w:r>
        <w:rPr>
          <w:i/>
          <w:iCs/>
          <w:color w:val="595959"/>
          <w:sz w:val="18"/>
          <w:szCs w:val="18"/>
        </w:rPr>
        <w:t xml:space="preserve">中际旭创(300308)_股票行情，行情首页_中财网 — https://quote.cfi.cn/300308.html?utm_source=openai</w:t>
      </w:r>
    </w:p>
    <w:p>
      <w:pPr>
        <w:spacing w:after="200"/>
      </w:pPr>
      <w:r>
        <w:rPr>
          <w:i/>
          <w:iCs/>
          <w:color w:val="595959"/>
          <w:sz w:val="18"/>
          <w:szCs w:val="18"/>
        </w:rPr>
        <w:t xml:space="preserve">单股调研 — https://www.ashare-dashboard.com/stocks?details=1&amp;ts_code=300308.SZ&amp;utm_source=openai</w:t>
      </w:r>
    </w:p>
    <w:p>
      <w:pPr>
        <w:spacing w:after="200"/>
      </w:pPr>
      <w:r>
        <w:rPr>
          <w:i/>
          <w:iCs/>
          <w:color w:val="595959"/>
          <w:sz w:val="18"/>
          <w:szCs w:val="18"/>
        </w:rPr>
        <w:t xml:space="preserve">中际旭创(300308)_公司公告_中际旭创：回购报告书新浪财经_新浪网 — https://vip.stock.finance.sina.com.cn/corp/view/vCB_AllBulletinDetail.php?id=12579386&amp;stockid=300308</w:t>
      </w:r>
    </w:p>
    <w:p>
      <w:pPr>
        <w:spacing w:after="200"/>
      </w:pPr>
      <w:r>
        <w:rPr>
          <w:i/>
          <w:iCs/>
          <w:color w:val="595959"/>
          <w:sz w:val="18"/>
          <w:szCs w:val="18"/>
        </w:rPr>
        <w:t xml:space="preserve">证券代码：300308　　证券简称：中际旭创　　公告编号：2026-089 — https://disc.static.szse.cn/disc/disk03/finalpage/2026-09-01/ff0c0e84-376c-4ae4-b749-c1b050840ba8.PDF?utm_source=openai</w:t>
      </w:r>
    </w:p>
    <w:p>
      <w:pPr>
        <w:spacing w:after="200"/>
      </w:pPr>
      <w:r>
        <w:rPr>
          <w:i/>
          <w:iCs/>
          <w:color w:val="595959"/>
          <w:sz w:val="18"/>
          <w:szCs w:val="18"/>
        </w:rPr>
        <w:t xml:space="preserve">中际旭创：9月9日斥资2.17亿元回购23.9万股 _ 东方财富网 — https://finance.eastmoney.com/a/202609093869417328.html?utm_source=openai</w:t>
      </w:r>
    </w:p>
    <w:p>
      <w:pPr>
        <w:spacing w:after="200"/>
      </w:pPr>
      <w:r>
        <w:rPr>
          <w:i/>
          <w:iCs/>
          <w:color w:val="595959"/>
          <w:sz w:val="18"/>
          <w:szCs w:val="18"/>
        </w:rPr>
        <w:t xml:space="preserve">中际旭创(300308)_公司公告_中际旭创：关于实际控制人部分股票进行质押交易的公告新浪财经_新浪网 — https://vip.stock.finance.sina.com.cn/corp/view/vCB_AllBulletinDetail.php?id=12581172&amp;stockid=300308</w:t>
      </w:r>
    </w:p>
    <w:p>
      <w:pPr>
        <w:spacing w:after="200"/>
      </w:pPr>
      <w:r>
        <w:rPr>
          <w:i/>
          <w:iCs/>
          <w:color w:val="595959"/>
          <w:sz w:val="18"/>
          <w:szCs w:val="18"/>
        </w:rPr>
        <w:t xml:space="preserve">中际旭创(300308)_公司公告_中际旭创：关于实际控制人部分股票解除质押的公告新浪财经_新浪网 — https://vip.stock.finance.sina.com.cn/corp/view/vCB_AllBulletinDetail.php?id=12585721&amp;stockid=300308</w:t>
      </w:r>
    </w:p>
    <w:p>
      <w:pPr>
        <w:spacing w:after="200"/>
      </w:pPr>
      <w:r>
        <w:rPr>
          <w:i/>
          <w:iCs/>
          <w:color w:val="595959"/>
          <w:sz w:val="18"/>
          <w:szCs w:val="18"/>
        </w:rPr>
        <w:t xml:space="preserve">中际旭创(300308)_公司公告_中际旭创：关于控股股东部分股票解除质押的公告新浪财经_新浪网 — https://vip.stock.finance.sina.com.cn/corp/view/vCB_AllBulletinDetail.php?id=12590301&amp;stockid=300308</w:t>
      </w:r>
    </w:p>
    <w:p>
      <w:pPr>
        <w:spacing w:after="200"/>
      </w:pPr>
      <w:r>
        <w:rPr>
          <w:i/>
          <w:iCs/>
          <w:color w:val="595959"/>
          <w:sz w:val="18"/>
          <w:szCs w:val="18"/>
        </w:rPr>
        <w:t xml:space="preserve">中际旭创(300308)_公司公告_中际旭创：关于特定股东部分股票进行质押交易及解除质押的公告新浪财经_新浪网 — https://vip.stock.finance.sina.com.cn/corp/view/vCB_AllBulletinDetail.php?id=12590302&amp;stockid=300308</w:t>
      </w:r>
    </w:p>
    <w:p>
      <w:pPr>
        <w:spacing w:after="200"/>
      </w:pPr>
      <w:r>
        <w:rPr>
          <w:i/>
          <w:iCs/>
          <w:color w:val="595959"/>
          <w:sz w:val="18"/>
          <w:szCs w:val="18"/>
        </w:rPr>
        <w:t xml:space="preserve">中际旭创(300308)_公司公告_中际旭创：关于向控股子公司提供财务资助的公告新浪财经_新浪网 — https://vip.stock.finance.sina.com.cn/corp/view/vCB_AllBulletinDetail.php?id=12585722&amp;stockid=300308</w:t>
      </w:r>
    </w:p>
    <w:p>
      <w:pPr>
        <w:spacing w:after="200"/>
      </w:pPr>
      <w:r>
        <w:rPr>
          <w:i/>
          <w:iCs/>
          <w:color w:val="595959"/>
          <w:sz w:val="18"/>
          <w:szCs w:val="18"/>
        </w:rPr>
        <w:t xml:space="preserve">证券代码：300308  证券简称：中际旭创  公告编号：2026-078 — https://static.cninfo.com.cn/finalpage/2026-08-14/1225472840.PDF?utm_source=openai</w:t>
      </w:r>
    </w:p>
    <w:p>
      <w:pPr>
        <w:spacing w:after="200"/>
      </w:pPr>
      <w:r>
        <w:rPr>
          <w:i/>
          <w:iCs/>
          <w:color w:val="595959"/>
          <w:sz w:val="18"/>
          <w:szCs w:val="18"/>
        </w:rPr>
        <w:t xml:space="preserve">北京中石伟业科技股份有限公司 2026 年半年度报告摘要 — https://static.cninfo.com.cn/finalpage/2026-08-25/1225494919.PDF?utm_source=openai</w:t>
      </w:r>
    </w:p>
    <w:p>
      <w:pPr>
        <w:spacing w:after="200"/>
      </w:pPr>
      <w:r>
        <w:rPr>
          <w:i/>
          <w:iCs/>
          <w:color w:val="595959"/>
          <w:sz w:val="18"/>
          <w:szCs w:val="18"/>
        </w:rPr>
        <w:t xml:space="preserve">中际旭创(300308)公司公告_新浪财经_新浪网 — https://vip.stock.finance.sina.com.cn/corp/go.php/vCB_AllBulletin/stockid/300308.phtml?ftype=lsgg</w:t>
      </w:r>
    </w:p>
    <w:p>
      <w:pPr>
        <w:spacing w:after="200"/>
      </w:pPr>
      <w:r>
        <w:rPr>
          <w:i/>
          <w:iCs/>
          <w:color w:val="595959"/>
          <w:sz w:val="18"/>
          <w:szCs w:val="18"/>
        </w:rPr>
        <w:t xml:space="preserve">中际旭创(300308)_公司公告_中际旭创：2026年半年度报告摘要新浪财经_新浪网 — https://money.finance.sina.com.cn/corp/view/vCB_AllBulletinDetail.php?id=12518498&amp;stockid=300308</w:t>
      </w:r>
    </w:p>
    <w:p>
      <w:pPr>
        <w:spacing w:after="200"/>
      </w:pPr>
      <w:r>
        <w:rPr>
          <w:i/>
          <w:iCs/>
          <w:color w:val="595959"/>
          <w:sz w:val="18"/>
          <w:szCs w:val="18"/>
        </w:rPr>
        <w:t xml:space="preserve">Microsoft Word - 2026-081：中际旭创2026年半年度报告 — https://static.cninfo.com.cn/finalpage/2026-08-22/1225491753.PDF</w:t>
      </w:r>
    </w:p>
    <w:p>
      <w:pPr>
        <w:spacing w:after="200"/>
      </w:pPr>
      <w:r>
        <w:rPr>
          <w:i/>
          <w:iCs/>
          <w:color w:val="595959"/>
          <w:sz w:val="18"/>
          <w:szCs w:val="18"/>
        </w:rPr>
        <w:t xml:space="preserve">中际旭创(300308)市盈率|估值|基本面 - 理杏仁 — https://www.lixinger.com/equity/company/detail/sz/300308/300308/fundamental/valuation/pe-ttm</w:t>
      </w:r>
    </w:p>
    <w:p>
      <w:pPr>
        <w:spacing w:after="200"/>
      </w:pPr>
      <w:r>
        <w:rPr>
          <w:i/>
          <w:iCs/>
          <w:color w:val="595959"/>
          <w:sz w:val="18"/>
          <w:szCs w:val="18"/>
        </w:rPr>
        <w:t xml:space="preserve">中际旭创(300308) 股价、新闻、报价和图表 - 富途牛牛 — https://www.futunn.com/stock/300308-SZ?chain_id=Name1K9-3FXPhg.1kqk680&amp;global_content=%7B%22promote_id%22%3A13766%2C%22sub_promote_id%22%3A5%2C%22f%22%3A%22www.futunn.com%2Fhk%2Fstock%2FG92-SG%2Finstitutional-ratings%22%7D&amp;utm_source=openai</w:t>
      </w:r>
    </w:p>
    <w:p>
      <w:pPr>
        <w:spacing w:after="200"/>
      </w:pPr>
      <w:r>
        <w:rPr>
          <w:i/>
          <w:iCs/>
          <w:color w:val="595959"/>
          <w:sz w:val="18"/>
          <w:szCs w:val="18"/>
        </w:rPr>
        <w:t xml:space="preserve">中际旭创(300308)股票行情走势技术分析_未来预测_买卖操作建议_英为财情Investing.com — https://cn.investing.com/equities/shandong-zhongji-electrical-technical</w:t>
      </w:r>
    </w:p>
    <w:p>
      <w:pPr>
        <w:spacing w:after="200"/>
      </w:pPr>
      <w:r>
        <w:rPr>
          <w:i/>
          <w:iCs/>
          <w:color w:val="595959"/>
          <w:sz w:val="18"/>
          <w:szCs w:val="18"/>
        </w:rPr>
        <w:t xml:space="preserve">中际旭创 (300308.SZ) K-Line Chart &amp; Technical Analysis | KlineVision | Kline Vision — https://klinevision.ai/stocks/cn/300308.SZ/</w:t>
      </w:r>
    </w:p>
    <w:p>
      <w:pPr>
        <w:spacing w:after="200"/>
      </w:pPr>
      <w:r>
        <w:rPr>
          <w:i/>
          <w:iCs/>
          <w:color w:val="595959"/>
          <w:sz w:val="18"/>
          <w:szCs w:val="18"/>
        </w:rPr>
        <w:t xml:space="preserve">主力复盘：31.20亿流入中际旭创 12.16亿流出兆易创新 _ 东方财富网 — https://wap.eastmoney.com/a/202609113872040087.html?utm_source=openai</w:t>
      </w:r>
    </w:p>
    <w:p>
      <w:pPr>
        <w:spacing w:after="200"/>
      </w:pPr>
      <w:r>
        <w:rPr>
          <w:i/>
          <w:iCs/>
          <w:color w:val="595959"/>
          <w:sz w:val="18"/>
          <w:szCs w:val="18"/>
        </w:rPr>
        <w:t xml:space="preserve">中际旭创（300308）9月2日主力资金净卖出30.66亿元_股票频道_证券之星 — https://stock.stockstar.com/RB2026090300008854.shtml?utm_source=openai</w:t>
      </w:r>
    </w:p>
    <w:p>
      <w:pPr>
        <w:spacing w:after="200"/>
      </w:pPr>
      <w:r>
        <w:rPr>
          <w:i/>
          <w:iCs/>
          <w:color w:val="595959"/>
          <w:sz w:val="18"/>
          <w:szCs w:val="18"/>
        </w:rPr>
        <w:t xml:space="preserve">中际旭创(300308)资金流向_个股行情_同花顺财经 — https://f10.10jqka.com.cn/300308/funds/?utm_source=openai</w:t>
      </w:r>
    </w:p>
    <w:p>
      <w:pPr>
        <w:spacing w:after="200"/>
      </w:pPr>
      <w:r>
        <w:rPr>
          <w:i/>
          <w:iCs/>
          <w:color w:val="595959"/>
          <w:sz w:val="18"/>
          <w:szCs w:val="18"/>
        </w:rPr>
        <w:t xml:space="preserve">中际旭创(300308.SZ) 股票行情_历史数据_主力资金 - 大波浪数据 — https://www.yyqyx.com/s/300308.SZ</w:t>
      </w:r>
    </w:p>
    <w:p>
      <w:pPr>
        <w:spacing w:after="200"/>
      </w:pPr>
      <w:r>
        <w:rPr>
          <w:i/>
          <w:iCs/>
          <w:color w:val="595959"/>
          <w:sz w:val="18"/>
          <w:szCs w:val="18"/>
        </w:rPr>
        <w:t xml:space="preserve">本报告由AI基于公开渠道信息自动检索、整理并生成，信息截至 截至2026年9月14日收盘；9月14日收盘价、涨跌幅及估值数据主要来自理杏仁，部分行情数据尚未由多个平台完全交叉验证；布林带数据截至2026年9月8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2026-09-14T10:39:19.487Z</dcterms:created>
  <dcterms:modified xsi:type="dcterms:W3CDTF">2026-09-14T10:39:19.487Z</dcterms:modified>
</cp:coreProperties>
</file>

<file path=docProps/custom.xml><?xml version="1.0" encoding="utf-8"?>
<Properties xmlns="http://schemas.openxmlformats.org/officeDocument/2006/custom-properties" xmlns:vt="http://schemas.openxmlformats.org/officeDocument/2006/docPropsVTypes"/>
</file>