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麦捷科技 (300319)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行业：电子元器件制造</w:t>
      </w:r>
    </w:p>
    <w:p>
      <w:pPr>
        <w:jc w:val="center"/>
      </w:pPr>
      <w:r>
        <w:rPr>
          <w:color w:val="595959"/>
          <w:sz w:val="22"/>
          <w:szCs w:val="22"/>
        </w:rPr>
        <w:t xml:space="preserve">报告日期：2026年10月1日</w:t>
      </w:r>
    </w:p>
    <w:p>
      <w:pPr>
        <w:jc w:val="center"/>
      </w:pPr>
      <w:r>
        <w:rPr>
          <w:color w:val="595959"/>
          <w:sz w:val="20"/>
          <w:szCs w:val="20"/>
        </w:rPr>
        <w:t xml:space="preserve">行情及技术指标截至2026-09-30收盘；展望为复市后五个交易日</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核心结论：扣非修复已现，但高估值仍要求增长兑现、毛利率止跌</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18.10元（-3.98%）</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约160.65亿元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50.52倍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10.77–33.37元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约10.4亿元/约6.7%（估算）</w:t>
            </w:r>
          </w:p>
        </w:tc>
      </w:tr>
    </w:tbl>
    <w:p>
      <w:pPr>
        <w:spacing w:before="200"/>
      </w:pPr>
    </w:p>
    <w:p>
      <w:pPr>
        <w:spacing w:after="200"/>
      </w:pPr>
      <w:r>
        <w:rPr>
          <w:i/>
          <w:iCs/>
          <w:color w:val="595959"/>
          <w:sz w:val="18"/>
          <w:szCs w:val="18"/>
        </w:rPr>
        <w:t xml:space="preserve">行情数据截至：行情及技术指标截至2026-09-30收盘；展望为复市后五个交易日</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上半年扣非修复，归母利润仍弱</w:t>
      </w:r>
      <w:r>
        <w:rPr>
          <w:sz w:val="22"/>
          <w:szCs w:val="22"/>
        </w:rPr>
        <w:t xml:space="preserve">：2026H1营收19.85亿元、同比+10.53%，归母净利+1.12%，扣非净利+35.99%；利润改善尚未充分传导至归母口径。</w:t>
      </w:r>
    </w:p>
    <w:p>
      <w:pPr>
        <w:pStyle w:val="ListParagraph"/>
        <w:numPr>
          <w:ilvl w:val="0"/>
          <w:numId w:val="2"/>
        </w:numPr>
        <w:spacing w:after="80" w:line="280"/>
      </w:pPr>
      <w:r>
        <w:rPr>
          <w:b/>
          <w:bCs/>
          <w:sz w:val="22"/>
          <w:szCs w:val="22"/>
        </w:rPr>
        <w:t xml:space="preserve">增长靠元器件与新供货，兑现度待观察</w:t>
      </w:r>
      <w:r>
        <w:rPr>
          <w:sz w:val="22"/>
          <w:szCs w:val="22"/>
        </w:rPr>
        <w:t xml:space="preserve">：2025年LCM收入增长30.34%、毛利率仅9.93%；服务器电感已向国内厂商量产供货，但未披露规模，扩产项目仍在建设。</w:t>
      </w:r>
    </w:p>
    <w:p>
      <w:pPr>
        <w:pStyle w:val="ListParagraph"/>
        <w:numPr>
          <w:ilvl w:val="0"/>
          <w:numId w:val="2"/>
        </w:numPr>
        <w:spacing w:after="80" w:line="280"/>
      </w:pPr>
      <w:r>
        <w:rPr>
          <w:b/>
          <w:bCs/>
          <w:sz w:val="22"/>
          <w:szCs w:val="22"/>
        </w:rPr>
        <w:t xml:space="preserve">估值处自身历史偏高区间</w:t>
      </w:r>
      <w:r>
        <w:rPr>
          <w:sz w:val="22"/>
          <w:szCs w:val="22"/>
        </w:rPr>
        <w:t xml:space="preserve">：9月30日收盘18.10元，PE-TTM 50.52倍、PB 3.25倍；PE处近5.2年81%分位，高于34.06倍中位数。</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：50.52倍PE隐含未来10年EPS年均增长约21.9%；单家机构预测2026—2028年净利增速为31.3%、22.2%、16.2%，隐含长期要求接近前两年预测、明显高于2028年增速。</w:t>
      </w:r>
    </w:p>
    <w:p>
      <w:pPr>
        <w:pStyle w:val="ListParagraph"/>
        <w:numPr>
          <w:ilvl w:val="0"/>
          <w:numId w:val="2"/>
        </w:numPr>
        <w:spacing w:after="80" w:line="280"/>
      </w:pPr>
      <w:r>
        <w:rPr>
          <w:b/>
          <w:bCs/>
          <w:sz w:val="22"/>
          <w:szCs w:val="22"/>
        </w:rPr>
        <w:t xml:space="preserve">证据显示</w:t>
      </w:r>
      <w:r>
        <w:rPr>
          <w:sz w:val="22"/>
          <w:szCs w:val="22"/>
        </w:rPr>
        <w:t xml:space="preserve">：H1扣非净利增长35.99%支持修复，但归母仅增1.12%；2025年扣非下降20.10%、毛利率回落，且服务器供货规模未披露、越南订单延期。预测仅来自1家机构，长期增长兑现仍待验证。</w:t>
      </w:r>
    </w:p>
    <w:p>
      <w:pPr>
        <w:spacing w:after="160" w:line="300"/>
      </w:pPr>
      <w:r>
        <w:rPr>
          <w:b/>
          <w:bCs/>
          <w:color w:val="1F4E79"/>
          <w:sz w:val="22"/>
          <w:szCs w:val="22"/>
        </w:rPr>
        <w:t xml:space="preserve">证据倾向：均衡；置信度：中</w:t>
      </w:r>
    </w:p>
    <w:p>
      <w:pPr>
        <w:spacing w:after="160" w:line="300"/>
      </w:pPr>
      <w:r>
        <w:rPr>
          <w:sz w:val="22"/>
          <w:szCs w:val="22"/>
        </w:rPr>
        <w:t xml:space="preserve">H1扣非改善与归母微增并存，且估值偏高；未来预测仅有1家机构，放量与毛利修复尚待验证。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向通信、消费电子、汽车电子等客户销售磁性及射频元器件和LCM显示模组，依靠产品设计制造与规模交付获利。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电子元器件</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52.07%（2025年）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22.21%（2025年）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12.71%（2025年同比）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包括磁性与射频器件，年报未进一步拆分；毛利率同比下降3.97个百分点。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LCM液晶显示模组</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47.59%（2025年）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9.93%（2025年）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30.34%（2025年同比）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收入增长快于元器件，毛利率同比下降2.95个百分点。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0.34%（2025年）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7.12%（2025年同比）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年报未列入主要产品毛利率表。</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研发投入1.70亿元、占收入4.49%；研发人员599人（2025年年报）。</w:t>
      </w:r>
    </w:p>
    <w:p>
      <w:pPr>
        <w:pStyle w:val="ListParagraph"/>
        <w:numPr>
          <w:ilvl w:val="0"/>
          <w:numId w:val="2"/>
        </w:numPr>
        <w:spacing w:after="80" w:line="280"/>
      </w:pPr>
      <w:r>
        <w:rPr>
          <w:sz w:val="22"/>
          <w:szCs w:val="22"/>
        </w:rPr>
        <w:t xml:space="preserve">部分车规电感通过AEC-Q200认证；年报未披露认证产品收入及量产规模。</w:t>
      </w:r>
    </w:p>
    <w:p>
      <w:pPr>
        <w:pStyle w:val="ListParagraph"/>
        <w:numPr>
          <w:ilvl w:val="0"/>
          <w:numId w:val="2"/>
        </w:numPr>
        <w:spacing w:after="80" w:line="280"/>
      </w:pPr>
      <w:r>
        <w:rPr>
          <w:sz w:val="22"/>
          <w:szCs w:val="22"/>
        </w:rPr>
        <w:t xml:space="preserve">公司称一体成型电感产销量居大陆厂商前列，未提供第三方排名或市占率。</w:t>
      </w:r>
    </w:p>
    <w:p>
      <w:pPr>
        <w:spacing w:after="160" w:line="300"/>
      </w:pPr>
      <w:r>
        <w:rPr>
          <w:sz w:val="22"/>
          <w:szCs w:val="22"/>
        </w:rPr>
        <w:t xml:space="preserve">主要威胁：原材料涨价与行业竞争压低元器件毛利率；LCM占比近半且毛利率较低，可能拖累综合盈利。</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主要投入包括软磁材料、磁粉芯、导线、射频器件相关陶瓷材料及LCM显示模组材料；年报未披露分项采购额。</w:t>
      </w:r>
    </w:p>
    <w:p>
      <w:pPr>
        <w:pStyle w:val="ListParagraph"/>
        <w:numPr>
          <w:ilvl w:val="0"/>
          <w:numId w:val="2"/>
        </w:numPr>
        <w:spacing w:after="80" w:line="280"/>
      </w:pPr>
      <w:r>
        <w:rPr>
          <w:sz w:val="22"/>
          <w:szCs w:val="22"/>
        </w:rPr>
        <w:t xml:space="preserve">2025年供应商前五名采购占比18.04%，第一大供应商占6.20%；公司受外部原料涨价影响，成本转嫁能力有限。</w:t>
      </w:r>
    </w:p>
    <w:p>
      <w:pPr>
        <w:pStyle w:val="ListParagraph"/>
        <w:numPr>
          <w:ilvl w:val="0"/>
          <w:numId w:val="2"/>
        </w:numPr>
        <w:spacing w:after="80" w:line="280"/>
      </w:pPr>
      <w:r>
        <w:rPr>
          <w:sz w:val="22"/>
          <w:szCs w:val="22"/>
        </w:rPr>
        <w:t xml:space="preserve">产品直销收入占84.28%（2025年）；客户名称匿名，公开资料不足以确认其对应终端品牌、ODM或Tier-1客户。</w:t>
      </w:r>
    </w:p>
    <w:p>
      <w:pPr>
        <w:pStyle w:val="ListParagraph"/>
        <w:numPr>
          <w:ilvl w:val="0"/>
          <w:numId w:val="2"/>
        </w:numPr>
        <w:spacing w:after="80" w:line="280"/>
      </w:pPr>
      <w:r>
        <w:rPr>
          <w:sz w:val="22"/>
          <w:szCs w:val="22"/>
        </w:rPr>
        <w:t xml:space="preserve">年报未证实存在固定年降条款；大客户订单变化可能影响产能利用率和收入稳定性。</w:t>
      </w:r>
    </w:p>
    <w:p>
      <w:pPr>
        <w:pStyle w:val="ListParagraph"/>
        <w:numPr>
          <w:ilvl w:val="0"/>
          <w:numId w:val="2"/>
        </w:numPr>
        <w:spacing w:after="80" w:line="280"/>
      </w:pPr>
      <w:r>
        <w:rPr>
          <w:sz w:val="22"/>
          <w:szCs w:val="22"/>
        </w:rPr>
        <w:t xml:space="preserve">前五大客户占销售额49.53%、第一大占18.06%（2025年年报）；客户匿名，无法交叉确认身份及产品去向。</w:t>
      </w:r>
    </w:p>
    <w:p>
      <w:pPr>
        <w:pStyle w:val="ListParagraph"/>
        <w:numPr>
          <w:ilvl w:val="0"/>
          <w:numId w:val="2"/>
        </w:numPr>
        <w:spacing w:after="80" w:line="280"/>
      </w:pPr>
      <w:r>
        <w:rPr>
          <w:sz w:val="22"/>
          <w:szCs w:val="22"/>
        </w:rPr>
        <w:t xml:space="preserve">2025年末应收净额12.44亿元，为收入的32.8%、归母净利的3.9倍；应收周转约111天（按年初年末均值估算）。应付及票据合计18.40亿元，经营现金流6.03亿元。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约21.06%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9.16%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后续年度毛利回落，制造业务受周期与成本变化影响。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18.69%</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6.33%</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元器件毛利率24.77%、LCM为13.48%，净利同比下降。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19.25%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8.95%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毛利回升；元器件收入增长、LCM收入下降，结构变化并存。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20.31%</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10.58%</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元器件增长、LCM下降，业务结构向较高毛利板块倾斜。</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16.35%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8.34%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原料涨价、竞争加剧；低毛利LCM收入增长更快。</w:t>
            </w:r>
          </w:p>
        </w:tc>
      </w:tr>
    </w:tbl>
    <w:p>
      <w:pPr>
        <w:spacing w:before="200"/>
      </w:pPr>
    </w:p>
    <w:p>
      <w:pPr>
        <w:spacing w:after="160" w:line="300"/>
      </w:pPr>
      <w:r>
        <w:rPr>
          <w:sz w:val="22"/>
          <w:szCs w:val="22"/>
        </w:rPr>
        <w:t xml:space="preserve">公司处于电子元器件制造中游，以设计制造和规模交付获利，尚未体现终端品牌溢价。2021—2022年毛利率口径与后续年度可能不完全一致；进一步改善依赖提高高附加值元器件占比、控制材料成本及提升产能利用率。</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公司横跨磁性器件、射频器件与LCM，2025年收入增长但毛利率下滑。关键在于原料成本能否传导，以及较快增长的低毛利LCM是否继续拉低产品结构盈利。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顺络电子（002138）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片式电感、磁性器件，磁性业务重叠度较高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2025年营收67.45亿元，毛利率36.64%；PE-TTM约39.60倍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规模约为麦捷1.8倍，毛利率高约14.4个百分点；业务结构并不相同。</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信维通信（300136）</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射频零部件、天线及相关模组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2025年营收89.10亿元，毛利率22.79%；PE-TTM 73.05倍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射频方向部分重叠，业务以射频零部件为主，不宜直接类比LCM。</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三环集团（300408）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陶瓷材料、电子元件及MLCC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2025年营收90.07亿元，毛利率42.14%；动态PE约60.63倍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材料和电子元件领域部分重叠，高毛利来自不同产品结构，非直接同产品公司。</w:t>
            </w:r>
          </w:p>
        </w:tc>
      </w:tr>
    </w:tbl>
    <w:p>
      <w:pPr>
        <w:spacing w:before="200"/>
      </w:pPr>
    </w:p>
    <w:p>
      <w:pPr>
        <w:spacing w:after="160" w:line="300"/>
      </w:pPr>
      <w:r>
        <w:rPr>
          <w:sz w:val="22"/>
          <w:szCs w:val="22"/>
        </w:rPr>
        <w:t xml:space="preserve">麦捷横跨磁性、射频和LCM，产品覆盖面较广，但LCM占比近半且毛利较低，2025年盈利承压。顺络规模与毛利率更高；信维、三环仅部分业务可比，不能直接据其估值或毛利推导麦捷的竞争差距。</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19.85亿元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+10.53%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1.51亿元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+1.12%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+35.99%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17.06%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37.94亿元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+20.44%</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31.50亿元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+4.42%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3.33亿元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+23.49%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+26.77%</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20.54%</w:t>
            </w:r>
          </w:p>
        </w:tc>
      </w:tr>
    </w:tbl>
    <w:p>
      <w:pPr>
        <w:spacing w:before="200"/>
      </w:pPr>
    </w:p>
    <w:p>
      <w:pPr>
        <w:spacing w:after="200"/>
      </w:pPr>
      <w:r>
        <w:rPr>
          <w:i/>
          <w:iCs/>
          <w:color w:val="595959"/>
          <w:sz w:val="18"/>
          <w:szCs w:val="18"/>
        </w:rPr>
        <w:t xml:space="preserve">截至2026年半年度；2025年毛利率采用整体合并口径。</w:t>
      </w:r>
    </w:p>
    <w:p>
      <w:pPr>
        <w:spacing w:after="160" w:line="300"/>
      </w:pPr>
      <w:r>
        <w:rPr>
          <w:sz w:val="22"/>
          <w:szCs w:val="22"/>
        </w:rPr>
        <w:t xml:space="preserve">2025年收入增长但利润、扣非及毛利率下滑；2026年上半年扣非增速明显回升、整体毛利率同比提升，归母净利仍仅微增。</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34.1%，2026年中报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负债率温和，期末短期及长期借款合计约1亿元。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2025年1.91倍；2026H1 1.59倍</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经营现金流对利润覆盖较好。</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2025年6.76%；2026H1 3.05%</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盈利回报水平较2024年有所承压。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应收账款周转率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2025年约3.29次；2026H1年化约2.9次</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上半年应收余额增幅高于收入增幅，后续需跟踪回款。</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商誉/总资产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3.82%，2026年中报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占比不高，但减值测试依赖未来经营假设。</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50.52倍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近5.2年81%分位（中位数34.06倍）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顺络电子约43.11倍；三环集团约67.29倍；风华高科约139.94倍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近5.2年89%分位（中位数2.18倍）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顺络电子约6.45倍；三环集团约9.76倍；风华高科约4.45倍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4.03倍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近5.2年90%分位（中位数2.84倍）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约0.59%（按2025年度分红估算）</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w:t>
      </w:r>
    </w:p>
    <w:p>
      <w:pPr>
        <w:spacing w:after="160" w:line="300"/>
      </w:pPr>
      <w:r>
        <w:rPr>
          <w:sz w:val="22"/>
          <w:szCs w:val="22"/>
        </w:rPr>
        <w:t xml:space="preserve">市场隐含预期：以当前50.52倍市盈率计，若投资者要求年化8%的回报、10年后按15倍市盈率估值，每股收益需年均增长约21.9%（不计分红，偏保守），可与下方一致预期增速对照。</w:t>
      </w:r>
    </w:p>
    <w:p>
      <w:pPr>
        <w:spacing w:after="160" w:line="300"/>
      </w:pPr>
      <w:r>
        <w:rPr>
          <w:sz w:val="22"/>
          <w:szCs w:val="22"/>
        </w:rPr>
        <w:t xml:space="preserve">PE-TTM 50.52倍、PB 3.25倍、PS-TTM 4.03倍，分别处近5.2年81%、89%、90%分位，均高于各自中位数34.06倍、2.18倍、2.84倍。价格隐含EPS年均增长约21.9%；单家机构预测增速由2026年31.3%降至2028年16.2%，估值需要利润修复延续并超越中长期放缓预期。</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42.97亿元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+31.3%（较2025年实际值推算）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48.57亿元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+22.2%（较2026年预测值推算）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53.81亿元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+16.2%（较2027年预测值推算）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0.66元</w:t>
            </w:r>
          </w:p>
        </w:tc>
      </w:tr>
    </w:tbl>
    <w:p>
      <w:pPr>
        <w:spacing w:before="200"/>
      </w:pPr>
    </w:p>
    <w:p>
      <w:pPr>
        <w:spacing w:after="200"/>
      </w:pPr>
      <w:r>
        <w:rPr>
          <w:i/>
          <w:iCs/>
          <w:color w:val="595959"/>
          <w:sz w:val="18"/>
          <w:szCs w:val="18"/>
        </w:rPr>
        <w:t xml:space="preserve">同花顺截至2026年9月30日仅1家机构预测，数据为国投证券2026年4月26日预测，非多机构一致预期。</w:t>
      </w:r>
    </w:p>
    <w:p>
      <w:pPr>
        <w:pStyle w:val="Heading2"/>
        <w:spacing w:after="120" w:before="240"/>
      </w:pPr>
      <w:r>
        <w:rPr>
          <w:b/>
          <w:bCs/>
          <w:color w:val="2E74B5"/>
          <w:sz w:val="24"/>
          <w:szCs w:val="24"/>
        </w:rPr>
        <w:t xml:space="preserve">4.3 机构观点</w:t>
      </w:r>
    </w:p>
    <w:p>
      <w:pPr>
        <w:spacing w:after="160" w:line="300"/>
      </w:pPr>
      <w:r>
        <w:rPr>
          <w:sz w:val="22"/>
          <w:szCs w:val="22"/>
        </w:rPr>
        <w:t xml:space="preserve">仅1家覆盖：国投证券2026年4月26日目标价15.88元；无有代表性的目标价均值或区间。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2026年4月26日</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按2026年34倍PE估值，目标价15.88元。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关注收入、归母及扣非利润变化；利润表现超出上半年低个位数归母增速为偏强信号。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2026-12-31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扩产项目预定可使用状态目标日</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核验项目是否按期达到预定可使用状态，以及后续投产、客户验证和产能利用；计划日期不代表必然形成效益。</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2026-08-20 半年报扣非利润增长、归母基本持平（利好）</w:t>
      </w:r>
      <w:r>
        <w:rPr>
          <w:sz w:val="22"/>
          <w:szCs w:val="22"/>
        </w:rPr>
        <w:t xml:space="preserve">：上半年营收19.85亿元、同比增长10.53%；归母净利润1.51亿元、同比增长1.12%，扣非净利润同比增长35.99%。业绩增长主要体现在扣非口径，归母利润增幅较低。</w:t>
      </w:r>
    </w:p>
    <w:p>
      <w:pPr>
        <w:pStyle w:val="ListParagraph"/>
        <w:numPr>
          <w:ilvl w:val="0"/>
          <w:numId w:val="2"/>
        </w:numPr>
        <w:spacing w:after="80" w:line="280"/>
      </w:pPr>
      <w:r>
        <w:rPr>
          <w:b/>
          <w:bCs/>
          <w:sz w:val="22"/>
          <w:szCs w:val="22"/>
        </w:rPr>
        <w:t xml:space="preserve">2026-07-31 控股股东提前终止减持计划（利好）</w:t>
      </w:r>
      <w:r>
        <w:rPr>
          <w:sz w:val="22"/>
          <w:szCs w:val="22"/>
        </w:rPr>
        <w:t xml:space="preserve">：控股股东此前拟减持不超过总股本3%，截至公告日未实际减持并提前终止计划，原计划带来的潜在供给压力暂时消除；不代表未来不再减持。</w:t>
      </w:r>
    </w:p>
    <w:p>
      <w:pPr>
        <w:pStyle w:val="ListParagraph"/>
        <w:numPr>
          <w:ilvl w:val="0"/>
          <w:numId w:val="2"/>
        </w:numPr>
        <w:spacing w:after="80" w:line="280"/>
      </w:pPr>
      <w:r>
        <w:rPr>
          <w:b/>
          <w:bCs/>
          <w:sz w:val="22"/>
          <w:szCs w:val="22"/>
        </w:rPr>
        <w:t xml:space="preserve">2026-09-11 服务器电感已向国内厂商量产供货（利好）</w:t>
      </w:r>
      <w:r>
        <w:rPr>
          <w:sz w:val="22"/>
          <w:szCs w:val="22"/>
        </w:rPr>
        <w:t xml:space="preserve">：公司互动回复称电感产品已在浪潮、中兴、联想等国内厂商量产供货，但未披露金额、数量或交付规模；该信息不是新增重大合同公告。</w:t>
      </w:r>
    </w:p>
    <w:p>
      <w:pPr>
        <w:pStyle w:val="ListParagraph"/>
        <w:numPr>
          <w:ilvl w:val="0"/>
          <w:numId w:val="2"/>
        </w:numPr>
        <w:spacing w:after="80" w:line="280"/>
      </w:pPr>
      <w:r>
        <w:rPr>
          <w:b/>
          <w:bCs/>
          <w:sz w:val="22"/>
          <w:szCs w:val="22"/>
        </w:rPr>
        <w:t xml:space="preserve">2026-08-26 扩产项目仍在建设，越南订单延期（利空）</w:t>
      </w:r>
      <w:r>
        <w:rPr>
          <w:sz w:val="22"/>
          <w:szCs w:val="22"/>
        </w:rPr>
        <w:t xml:space="preserve">：公司回复称越南产线初步建成投产，但受美国对越南发起301调查影响，相关客户订单推迟；射频滤波器及高端电感扩产项目截至6月底仍处建设期。</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2026H1扣非净利同比增长35.99%，较2025年下降20.10%出现明显修复。</w:t>
      </w:r>
    </w:p>
    <w:p>
      <w:pPr>
        <w:pStyle w:val="ListParagraph"/>
        <w:numPr>
          <w:ilvl w:val="0"/>
          <w:numId w:val="2"/>
        </w:numPr>
        <w:spacing w:after="80" w:line="280"/>
      </w:pPr>
      <w:r>
        <w:rPr>
          <w:sz w:val="22"/>
          <w:szCs w:val="22"/>
        </w:rPr>
        <w:t xml:space="preserve">电子元器件收入占2025年52.07%、同比增长12.71%；服务器电感已向国内厂商量产供货，若放量可增厚较高毛利业务。</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2025年归母净利下降5.12%、扣非下降20.10%，整体毛利率降至约16.5%。</w:t>
      </w:r>
    </w:p>
    <w:p>
      <w:pPr>
        <w:pStyle w:val="ListParagraph"/>
        <w:numPr>
          <w:ilvl w:val="0"/>
          <w:numId w:val="2"/>
        </w:numPr>
        <w:spacing w:after="80" w:line="280"/>
      </w:pPr>
      <w:r>
        <w:rPr>
          <w:sz w:val="22"/>
          <w:szCs w:val="22"/>
        </w:rPr>
        <w:t xml:space="preserve">PE-TTM 50.52倍处近5.2年81%分位，市场隐含EPS年增21.9%，而单家机构预测增速到2028年降至16.2%。</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前五大客户占销售额49.53%、第一大客户占18.06%；主要客户订单变化可能压低产能利用率并扰动收入。</w:t>
      </w:r>
    </w:p>
    <w:p>
      <w:pPr>
        <w:pStyle w:val="ListParagraph"/>
        <w:numPr>
          <w:ilvl w:val="0"/>
          <w:numId w:val="2"/>
        </w:numPr>
        <w:spacing w:after="80" w:line="280"/>
      </w:pPr>
      <w:r>
        <w:rPr>
          <w:sz w:val="22"/>
          <w:szCs w:val="22"/>
        </w:rPr>
        <w:t xml:space="preserve">应收净额12.44亿元、约为收入32.8%；若回款继续慢于收入增长，将占用营运资金并增加坏账压力。</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三季报利润增速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H1归母+1.12%、扣非+35.99%</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Q3归母增速明显高于H1且扣非保持正增长</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归母继续低个位数增长或扣非转负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2026H1为17.06%</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后续报告期高于17%并持续改善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回落至16.5%以下</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电感供货及扩产</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服务器电感已量产供货，规模未披露；扩产项目仍建设中</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披露客户订单或交付规模，项目按期投产并爬坡</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项目延期或量产供货未转化为收入增长</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应收与回款</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应收周转率H1年化约2.9次</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周转率回升且应收增幅不高于收入增幅</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周转率继续下降、应收增幅持续高于收入</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⚠️风险提示：情景权重为主观启发式判断，非统计概率；不构成投资建议。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短线均线与MACD偏弱，股价接近布林下轨及近期低点；RSI6偏低但不能单独确认反转，反弹需观察压力区收复及成交恢复。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19.57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收盘价低于短期均线。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MA10/MA20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20.54/20.32</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上方均线密集，构成压力。</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18.43</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收盘价亦低于中期均线。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-0.836（前值-0.636）</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负柱扩大，动能偏弱。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21.4/40</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短周期偏低，尚无反转确认。</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18.40–19.60元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对应MA60及MA5；放量收复后可看向20.32–20.54元均线区。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17.95–18.10元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对应近20日低点及收盘价；失守后关注布林下轨。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17.71–17.95元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对应布林下轨与近20日低点；有效跌破后近端支撑参考不足。</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以2026-09-30价格18.1元为基准，用近300个交易日的收益分布（按当前指数加权日波动率约4.7%缩放，保留这只股票自身的大涨大跌频率）推算未来5个交易日的收盘价范围：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16.38～20.33元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-9.5%～+12.3%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15.1～23.47元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-16.6%～+29.7%</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震荡整理（相对权重较高，约四成）</w:t>
      </w:r>
      <w:r>
        <w:rPr>
          <w:sz w:val="22"/>
          <w:szCs w:val="22"/>
        </w:rPr>
        <w:t xml:space="preserve">：17.71–17.95元支撑区守住、成交未进一步显著萎缩，或在17.70–19.60元整理。</w:t>
      </w:r>
    </w:p>
    <w:p>
      <w:pPr>
        <w:pStyle w:val="ListParagraph"/>
        <w:numPr>
          <w:ilvl w:val="0"/>
          <w:numId w:val="2"/>
        </w:numPr>
        <w:spacing w:after="80" w:line="280"/>
      </w:pPr>
      <w:r>
        <w:rPr>
          <w:b/>
          <w:bCs/>
          <w:sz w:val="22"/>
          <w:szCs w:val="22"/>
        </w:rPr>
        <w:t xml:space="preserve">偏弱下行（权重中等，约四成）</w:t>
      </w:r>
      <w:r>
        <w:rPr>
          <w:sz w:val="22"/>
          <w:szCs w:val="22"/>
        </w:rPr>
        <w:t xml:space="preserve">：放量跌破17.71元且资金净流出延续；区间仅以52周低点10.77元作远端历史参照，非下周目标。</w:t>
      </w:r>
    </w:p>
    <w:p>
      <w:pPr>
        <w:pStyle w:val="ListParagraph"/>
        <w:numPr>
          <w:ilvl w:val="0"/>
          <w:numId w:val="2"/>
        </w:numPr>
        <w:spacing w:after="80" w:line="280"/>
      </w:pPr>
      <w:r>
        <w:rPr>
          <w:b/>
          <w:bCs/>
          <w:sz w:val="22"/>
          <w:szCs w:val="22"/>
        </w:rPr>
        <w:t xml:space="preserve">反弹走强（权重偏低，约两成）</w:t>
      </w:r>
      <w:r>
        <w:rPr>
          <w:sz w:val="22"/>
          <w:szCs w:val="22"/>
        </w:rPr>
        <w:t xml:space="preserve">：先放量站回18.40–19.60元，进一步突破20.32–20.54元，才有条件测试近20日高点22.88元附近。</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9月24日至29日样本成交额10.07–17.95亿元、换手率6.29%–11.07%；9月30日估算约10.4亿元、6.7%。主力净流出方向明确但数据商口径不同。前十股东合计持股31.77%（截至2026-06-30），含ETF及私募股权基金，未见社保或明确列名QFII；持仓有披露滞后，可能已变。成交活跃但日间波动较大。</w:t>
      </w:r>
    </w:p>
    <w:p>
      <w:pPr>
        <w:spacing w:after="160" w:line="300"/>
      </w:pPr>
      <w:r>
        <w:rPr>
          <w:sz w:val="22"/>
          <w:szCs w:val="22"/>
        </w:rPr>
        <w:t xml:space="preserve">复市后单日成交额达约20亿元以上且收复18.40–19.60元，可视为资金参与度增强的观察信号。</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麦捷科技(300319)_公司公告_麦捷科技：2024年年度报告摘要新浪财经_新浪网 — https://money.finance.sina.com.cn/corp/view/vCB_AllBulletinDetail.php?id=10818061&amp;stockid=300319</w:t>
      </w:r>
    </w:p>
    <w:p>
      <w:pPr>
        <w:spacing w:after="200"/>
      </w:pPr>
      <w:r>
        <w:rPr>
          <w:i/>
          <w:iCs/>
          <w:color w:val="595959"/>
          <w:sz w:val="18"/>
          <w:szCs w:val="18"/>
        </w:rPr>
        <w:t xml:space="preserve">https://static.cninfo.com.cn/finalpage/2026-04-21/1225132832.PDF — https://static.cninfo.com.cn/finalpage/2026-04-21/1225132832.PDF</w:t>
      </w:r>
    </w:p>
    <w:p>
      <w:pPr>
        <w:spacing w:after="200"/>
      </w:pPr>
      <w:r>
        <w:rPr>
          <w:i/>
          <w:iCs/>
          <w:color w:val="595959"/>
          <w:sz w:val="18"/>
          <w:szCs w:val="18"/>
        </w:rPr>
        <w:t xml:space="preserve">麦捷科技(300319)_公司公告_麦捷科技：2024年年度报告新浪财经_新浪网 — https://money.finance.sina.com.cn/corp/view/vCB_AllBulletinDetail.php?id=10818077&amp;stockid=300319</w:t>
      </w:r>
    </w:p>
    <w:p>
      <w:pPr>
        <w:spacing w:after="200"/>
      </w:pPr>
      <w:r>
        <w:rPr>
          <w:i/>
          <w:iCs/>
          <w:color w:val="595959"/>
          <w:sz w:val="18"/>
          <w:szCs w:val="18"/>
        </w:rPr>
        <w:t xml:space="preserve">麦捷科技(300319)_公司公告_麦捷科技：2025年年度报告新浪财经_新浪网 — https://money.finance.sina.com.cn/corp/view/vCB_AllBulletinDetail.php?id=12126195&amp;stockid=300319</w:t>
      </w:r>
    </w:p>
    <w:p>
      <w:pPr>
        <w:spacing w:after="200"/>
      </w:pPr>
      <w:r>
        <w:rPr>
          <w:i/>
          <w:iCs/>
          <w:color w:val="595959"/>
          <w:sz w:val="18"/>
          <w:szCs w:val="18"/>
        </w:rPr>
        <w:t xml:space="preserve">麦捷科技(300319)_公司公告_麦捷科技：2022年年度报告摘要(更正后)新浪财经_新浪网 — https://money.finance.sina.com.cn/corp/view/vCB_AllBulletinDetail.php?id=8929620&amp;stockid=300319</w:t>
      </w:r>
    </w:p>
    <w:p>
      <w:pPr>
        <w:spacing w:after="200"/>
      </w:pPr>
      <w:r>
        <w:rPr>
          <w:i/>
          <w:iCs/>
          <w:color w:val="595959"/>
          <w:sz w:val="18"/>
          <w:szCs w:val="18"/>
        </w:rPr>
        <w:t xml:space="preserve">麦捷科技(300319)_公司公告_麦捷科技：2023年年度报告新浪财经_新浪网 — https://money.finance.sina.com.cn/corp/view/vCB_AllBulletinDetail.php?id=10046344&amp;stockid=300319</w:t>
      </w:r>
    </w:p>
    <w:p>
      <w:pPr>
        <w:spacing w:after="200"/>
      </w:pPr>
      <w:r>
        <w:rPr>
          <w:i/>
          <w:iCs/>
          <w:color w:val="595959"/>
          <w:sz w:val="18"/>
          <w:szCs w:val="18"/>
        </w:rPr>
        <w:t xml:space="preserve">公司公告_麦捷科技：2022年年度报告新浪财经_新浪网 — https://vip.stock.finance.sina.com.cn/corp/view/vCB_AllBulletinDetail.php?id=8928906</w:t>
      </w:r>
    </w:p>
    <w:p>
      <w:pPr>
        <w:spacing w:after="200"/>
      </w:pPr>
      <w:r>
        <w:rPr>
          <w:i/>
          <w:iCs/>
          <w:color w:val="595959"/>
          <w:sz w:val="18"/>
          <w:szCs w:val="18"/>
        </w:rPr>
        <w:t xml:space="preserve">顺络电子: 2025年年度报告_股票频道_证券之星 — https://stock.stockstar.com/notice/SN2026022700040372.shtml</w:t>
      </w:r>
    </w:p>
    <w:p>
      <w:pPr>
        <w:spacing w:after="200"/>
      </w:pPr>
      <w:r>
        <w:rPr>
          <w:i/>
          <w:iCs/>
          <w:color w:val="595959"/>
          <w:sz w:val="18"/>
          <w:szCs w:val="18"/>
        </w:rPr>
        <w:t xml:space="preserve">麦捷科技(300319)_公司公告_麦捷科技：2026年半年度报告新浪财经_新浪网 — https://vip.stock.finance.sina.com.cn/corp/view/vCB_AllBulletinDetail.php?id=12506556&amp;stockid=300319</w:t>
      </w:r>
    </w:p>
    <w:p>
      <w:pPr>
        <w:spacing w:after="200"/>
      </w:pPr>
      <w:r>
        <w:rPr>
          <w:i/>
          <w:iCs/>
          <w:color w:val="595959"/>
          <w:sz w:val="18"/>
          <w:szCs w:val="18"/>
        </w:rPr>
        <w:t xml:space="preserve">麦捷科技(300319)_公司公告_麦捷科技：2026年半年度报告新浪财经_新浪网 — https://money.finance.sina.com.cn/corp/view/vCB_AllBulletinDetail.php?id=12506556&amp;stockid=300319</w:t>
      </w:r>
    </w:p>
    <w:p>
      <w:pPr>
        <w:spacing w:after="200"/>
      </w:pPr>
      <w:r>
        <w:rPr>
          <w:i/>
          <w:iCs/>
          <w:color w:val="595959"/>
          <w:sz w:val="18"/>
          <w:szCs w:val="18"/>
        </w:rPr>
        <w:t xml:space="preserve">麦捷科技(300319)_公司公告_麦捷科技：2025年年度报告新浪财经_新浪网 — https://vip.stock.finance.sina.com.cn/corp/view/vCB_AllBulletinDetail.php?id=12126195&amp;stockid=300319</w:t>
      </w:r>
    </w:p>
    <w:p>
      <w:pPr>
        <w:spacing w:after="200"/>
      </w:pPr>
      <w:r>
        <w:rPr>
          <w:i/>
          <w:iCs/>
          <w:color w:val="595959"/>
          <w:sz w:val="18"/>
          <w:szCs w:val="18"/>
        </w:rPr>
        <w:t xml:space="preserve">https://disc.static.szse.cn/disc/disk03/finalpage/2026-04-21/9c7ecf52-7bbd-4073-a165-bcc44c5e469f.PDF — https://disc.static.szse.cn/disc/disk03/finalpage/2026-04-21/9c7ecf52-7bbd-4073-a165-bcc44c5e469f.PDF</w:t>
      </w:r>
    </w:p>
    <w:p>
      <w:pPr>
        <w:spacing w:after="200"/>
      </w:pPr>
      <w:r>
        <w:rPr>
          <w:i/>
          <w:iCs/>
          <w:color w:val="595959"/>
          <w:sz w:val="18"/>
          <w:szCs w:val="18"/>
        </w:rPr>
        <w:t xml:space="preserve">麦捷科技：公司未发布中报业绩预告_投资者关系_内部信息_深交所 — https://www.sohu.com/a/1051578306_115377</w:t>
      </w:r>
    </w:p>
    <w:p>
      <w:pPr>
        <w:spacing w:after="200"/>
      </w:pPr>
      <w:r>
        <w:rPr>
          <w:i/>
          <w:iCs/>
          <w:color w:val="595959"/>
          <w:sz w:val="18"/>
          <w:szCs w:val="18"/>
        </w:rPr>
        <w:t xml:space="preserve">股份公司 — https://disc.static.szse.cn/disc/disk03/finalpage/2026-06-22/3f9dc648-b124-4647-b201-26c692d95e9b.PDF</w:t>
      </w:r>
    </w:p>
    <w:p>
      <w:pPr>
        <w:spacing w:after="200"/>
      </w:pPr>
      <w:r>
        <w:rPr>
          <w:i/>
          <w:iCs/>
          <w:color w:val="595959"/>
          <w:sz w:val="18"/>
          <w:szCs w:val="18"/>
        </w:rPr>
        <w:t xml:space="preserve">股份公司 — https://static.cninfo.com.cn/finalpage/2026-04-21/1225132843.PDF</w:t>
      </w:r>
    </w:p>
    <w:p>
      <w:pPr>
        <w:spacing w:after="200"/>
      </w:pPr>
      <w:r>
        <w:rPr>
          <w:i/>
          <w:iCs/>
          <w:color w:val="595959"/>
          <w:sz w:val="18"/>
          <w:szCs w:val="18"/>
        </w:rPr>
        <w:t xml:space="preserve">顺络电子(002138)市盈率|估值|基本面 - 理杏仁 — https://www.lixinger.com/equity/company/detail/sz/002138/2138/fundamental/valuation/pe-ttm</w:t>
      </w:r>
    </w:p>
    <w:p>
      <w:pPr>
        <w:spacing w:after="200"/>
      </w:pPr>
      <w:r>
        <w:rPr>
          <w:i/>
          <w:iCs/>
          <w:color w:val="595959"/>
          <w:sz w:val="18"/>
          <w:szCs w:val="18"/>
        </w:rPr>
        <w:t xml:space="preserve">https://static.cninfo.com.cn/finalpage/2026-08-20/1225482554.PDF — https://static.cninfo.com.cn/finalpage/2026-08-20/1225482554.PDF</w:t>
      </w:r>
    </w:p>
    <w:p>
      <w:pPr>
        <w:spacing w:after="200"/>
      </w:pPr>
      <w:r>
        <w:rPr>
          <w:i/>
          <w:iCs/>
          <w:color w:val="595959"/>
          <w:sz w:val="18"/>
          <w:szCs w:val="18"/>
        </w:rPr>
        <w:t xml:space="preserve">股份公司 — https://disc.static.szse.cn/download/disc/disk03/finalpage/2026-07-31/1e3d284c-6c2d-427e-afc4-38e22a6202f8.PDF</w:t>
      </w:r>
    </w:p>
    <w:p>
      <w:pPr>
        <w:spacing w:after="200"/>
      </w:pPr>
      <w:r>
        <w:rPr>
          <w:i/>
          <w:iCs/>
          <w:color w:val="595959"/>
          <w:sz w:val="18"/>
          <w:szCs w:val="18"/>
        </w:rPr>
        <w:t xml:space="preserve">麦捷科技：已在浪潮、中兴、联想等国内厂商实现量产供货 — https://yuanchuang.10jqka.com.cn/20260911/c679830925.shtml</w:t>
      </w:r>
    </w:p>
    <w:p>
      <w:pPr>
        <w:spacing w:after="200"/>
      </w:pPr>
      <w:r>
        <w:rPr>
          <w:i/>
          <w:iCs/>
          <w:color w:val="595959"/>
          <w:sz w:val="18"/>
          <w:szCs w:val="18"/>
        </w:rPr>
        <w:t xml:space="preserve">麦捷科技：披露各项目建设进展及量产相关情况 港美股资讯 | 华盛通 — https://www.hstong.com/news/detail/26082619072418182</w:t>
      </w:r>
    </w:p>
    <w:p>
      <w:pPr>
        <w:spacing w:after="200"/>
      </w:pPr>
      <w:r>
        <w:rPr>
          <w:i/>
          <w:iCs/>
          <w:color w:val="595959"/>
          <w:sz w:val="18"/>
          <w:szCs w:val="18"/>
        </w:rPr>
        <w:t xml:space="preserve">麦捷科技(300319)_公司公告_麦捷科技：2026年第二次临时股东会决议公告新浪财经_新浪网 — https://vip.stock.finance.sina.com.cn/corp/view/vCB_AllBulletinDetail.php?id=12590733&amp;stockid=300319</w:t>
      </w:r>
    </w:p>
    <w:p>
      <w:pPr>
        <w:spacing w:after="200"/>
      </w:pPr>
      <w:r>
        <w:rPr>
          <w:i/>
          <w:iCs/>
          <w:color w:val="595959"/>
          <w:sz w:val="18"/>
          <w:szCs w:val="18"/>
        </w:rPr>
        <w:t xml:space="preserve">麦捷科技9月28日回应人形机器人话题：与光明实验室共建仿生灵巧手联合实验室_股票频道_证券之星 — https://stock.stockstar.com/RB2026092900005654.shtml</w:t>
      </w:r>
    </w:p>
    <w:p>
      <w:pPr>
        <w:spacing w:after="200"/>
      </w:pPr>
      <w:r>
        <w:rPr>
          <w:i/>
          <w:iCs/>
          <w:color w:val="595959"/>
          <w:sz w:val="18"/>
          <w:szCs w:val="18"/>
        </w:rPr>
        <w:t xml:space="preserve">https://static.cninfo.com.cn/finalpage/2026-07-14/1225424326.PDF — https://static.cninfo.com.cn/finalpage/2026-07-14/1225424326.PDF</w:t>
      </w:r>
    </w:p>
    <w:p>
      <w:pPr>
        <w:spacing w:after="200"/>
      </w:pPr>
      <w:r>
        <w:rPr>
          <w:i/>
          <w:iCs/>
          <w:color w:val="595959"/>
          <w:sz w:val="18"/>
          <w:szCs w:val="18"/>
        </w:rPr>
        <w:t xml:space="preserve">麦捷科技(300319)_公司公告_麦捷科技：关于发行股份及支付现金购买资产并募集配套资金之部分限售股份解除限售上市流通的提示性公告新浪财经_新浪网 — https://money.finance.sina.com.cn/corp/view/vCB_AllBulletinDetail.php?id=12388268&amp;stockid=300319</w:t>
      </w:r>
    </w:p>
    <w:p>
      <w:pPr>
        <w:spacing w:after="200"/>
      </w:pPr>
      <w:r>
        <w:rPr>
          <w:i/>
          <w:iCs/>
          <w:color w:val="595959"/>
          <w:sz w:val="18"/>
          <w:szCs w:val="18"/>
        </w:rPr>
        <w:t xml:space="preserve">麦捷科技(300319)_公司公告_麦捷科技：2026年半年度报告摘要新浪财经_新浪网 — https://money.finance.sina.com.cn/corp/view/vCB_AllBulletinDetail.php?id=12506557&amp;stockid=300319</w:t>
      </w:r>
    </w:p>
    <w:p>
      <w:pPr>
        <w:spacing w:after="200"/>
      </w:pPr>
      <w:r>
        <w:rPr>
          <w:i/>
          <w:iCs/>
          <w:color w:val="595959"/>
          <w:sz w:val="18"/>
          <w:szCs w:val="18"/>
        </w:rPr>
        <w:t xml:space="preserve">麦捷科技(300319)_资金流向_证券之星 — https://stock.quote.stockstar.com/capital_300319.shtml</w:t>
      </w:r>
    </w:p>
    <w:p>
      <w:pPr>
        <w:spacing w:after="200"/>
      </w:pPr>
      <w:r>
        <w:rPr>
          <w:i/>
          <w:iCs/>
          <w:color w:val="595959"/>
          <w:sz w:val="18"/>
          <w:szCs w:val="18"/>
        </w:rPr>
        <w:t xml:space="preserve">麦捷科技(300319)个股分析_牛叉诊股_同花顺财经 — https://doctor.10jqka.com.cn/300319/</w:t>
      </w:r>
    </w:p>
    <w:p>
      <w:pPr>
        <w:spacing w:after="200"/>
      </w:pPr>
      <w:r>
        <w:rPr>
          <w:i/>
          <w:iCs/>
          <w:color w:val="595959"/>
          <w:sz w:val="18"/>
          <w:szCs w:val="18"/>
        </w:rPr>
        <w:t xml:space="preserve">股票行情快报：麦捷科技（300319）9月29日主力资金净卖出1533.06万元_主力研究_股票_证券之星 — https://wap.stockstar.com/detail/RB2026092900037515</w:t>
      </w:r>
    </w:p>
    <w:p>
      <w:pPr>
        <w:spacing w:after="200"/>
      </w:pPr>
      <w:r>
        <w:rPr>
          <w:i/>
          <w:iCs/>
          <w:color w:val="595959"/>
          <w:sz w:val="18"/>
          <w:szCs w:val="18"/>
        </w:rPr>
        <w:t xml:space="preserve">晓经济-麦捷科技 — https://www.xiaojingji.com/stock/one/notice?code=300319&amp;type=5</w:t>
      </w:r>
    </w:p>
    <w:p>
      <w:pPr>
        <w:spacing w:after="200"/>
      </w:pPr>
      <w:r>
        <w:rPr>
          <w:i/>
          <w:iCs/>
          <w:color w:val="595959"/>
          <w:sz w:val="18"/>
          <w:szCs w:val="18"/>
        </w:rPr>
        <w:t xml:space="preserve">本报告由AI基于公开渠道信息自动检索、整理并生成，信息截至 行情及技术指标截至2026-09-30收盘；展望为复市后五个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2026-10-01T11:26:47.428Z</dcterms:created>
  <dcterms:modified xsi:type="dcterms:W3CDTF">2026-10-01T11:26:47.428Z</dcterms:modified>
</cp:coreProperties>
</file>

<file path=docProps/custom.xml><?xml version="1.0" encoding="utf-8"?>
<Properties xmlns="http://schemas.openxmlformats.org/officeDocument/2006/custom-properties" xmlns:vt="http://schemas.openxmlformats.org/officeDocument/2006/docPropsVTypes"/>
</file>