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胜宏科技（惠州）股份有限公司 (300476)</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行业：高端PCB制造</w:t>
      </w:r>
    </w:p>
    <w:p>
      <w:pPr>
        <w:jc w:val="center"/>
      </w:pPr>
      <w:r>
        <w:rPr>
          <w:color w:val="595959"/>
          <w:sz w:val="22"/>
          <w:szCs w:val="22"/>
        </w:rPr>
        <w:t xml:space="preserve">报告日期：2026年9月14日</w:t>
      </w:r>
    </w:p>
    <w:p>
      <w:pPr>
        <w:jc w:val="center"/>
      </w:pPr>
      <w:r>
        <w:rPr>
          <w:color w:val="595959"/>
          <w:sz w:val="20"/>
          <w:szCs w:val="20"/>
        </w:rPr>
        <w:t xml:space="preserve">截至2026年9月14日收盘；部分成交量、换手率及股东数据存在不同日期口径，已在相关字段中注明</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胜宏科技2026年上半年实现营业收入116.29亿元，同比增长28.77%；归母净利润28.57亿元，同比增长33.30%；经营活动现金流净额29.11亿元，同比增长144.61%，收入、利润和现金流均保持增长。公司已实现部分AI算力、数据中心、光模块等高端PCB产品大规模量产，并具备100层以上高多层板、6阶24层HDI大规模生产及16层任意层互联HDI技术能力，AI相关高端产品和客户拓展是当前业绩增长的核心驱动。</w:t>
      </w:r>
    </w:p>
    <w:p>
      <w:pPr>
        <w:spacing w:after="160" w:line="300"/>
      </w:pPr>
      <w:r>
        <w:rPr>
          <w:sz w:val="22"/>
          <w:szCs w:val="22"/>
        </w:rPr>
        <w:t xml:space="preserve">公司2025年营业收入192.92亿元，同比增长79.77%，归母净利润43.12亿元，同比增长273.52%，估算毛利率和归母净利率分别提升至约35.23%和22.35%，反映AI服务器、数据中心及高端PCB产品放量、产品结构升级和规模效应的共同作用。2026年上半年新拓展客户超过50家，其中一半以上为AI领域高端客户，部分大客户新一代产品已进入大批量生产阶段，但相关信息主要来自互动平台，尚不构成订单或业绩承诺。</w:t>
      </w:r>
    </w:p>
    <w:p>
      <w:pPr>
        <w:spacing w:after="160" w:line="300"/>
      </w:pPr>
      <w:r>
        <w:rPr>
          <w:sz w:val="22"/>
          <w:szCs w:val="22"/>
        </w:rPr>
        <w:t xml:space="preserve">增长质量仍需进一步观察。2026年上半年营业成本同比增长34.83%，高于收入增速；二季度扣非归母净利润约11.61亿元，同比下降约5.28%、环比下降约7.69%，明显弱于当期归母净利润表现，期间非经常性损益约4.39亿元对利润形成一定增厚。此外，新产能折旧、提前招工、产能爬坡、汇兑损失及利息支出增加，可能使收入增长暂时快于经营利润增长。</w:t>
      </w:r>
    </w:p>
    <w:p>
      <w:pPr>
        <w:spacing w:after="160" w:line="300"/>
      </w:pPr>
      <w:r>
        <w:rPr>
          <w:sz w:val="22"/>
          <w:szCs w:val="22"/>
        </w:rPr>
        <w:t xml:space="preserve">截至2026年9月14日，公司股价收于225.00元，动态市盈率约44倍、市净率约5.7倍，处于8月阶段高点回落后的弱势震荡状态。现价低于主要短中期均线，均线综合信号为强力卖出，MACD位于零轴下方，短线关键观察区间为220—222元支撑和228.5—230.5元压力；市场对公司未来估值的核心定价仍建立在AI PCB需求延续、新产能释放及高阶产品占比提升之上。</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股票代码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300476</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股票简称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胜宏科技</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上市地点</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深圳证券交易所创业板</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所属行业</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印制电路板（PCB）制造业；按证监会行业分类归属于“计算机、通信和其他电子设备制造业”，按国民经济行业分类属于“电子电路制造（C3982）”</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数据截至日期</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公司经营、产品、产量及产业链数据主要截至2025年12月31日；2025年年度报告披露日期为2026年3月13日</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主营业务</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专业从事高密度印制线路板的研发、生产和销售，产品包括刚性电路板、柔性电路板及刚挠结合板</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刚性电路板：包括高多层板、普通多层板、HDI板，其中高多层板和HDI板是核心产品</w:t>
      </w:r>
    </w:p>
    <w:p>
      <w:pPr>
        <w:pStyle w:val="ListParagraph"/>
        <w:numPr>
          <w:ilvl w:val="0"/>
          <w:numId w:val="2"/>
        </w:numPr>
        <w:spacing w:after="80" w:line="280"/>
      </w:pPr>
      <w:r>
        <w:rPr>
          <w:sz w:val="22"/>
          <w:szCs w:val="22"/>
        </w:rPr>
        <w:t xml:space="preserve">柔性电路板：包括单双面柔性板、多层柔性板以及刚挠结合板；公司通过收购和整合MFS集团形成刚性电路板与柔性电路板产品组合</w:t>
      </w:r>
    </w:p>
    <w:p>
      <w:pPr>
        <w:pStyle w:val="ListParagraph"/>
        <w:numPr>
          <w:ilvl w:val="0"/>
          <w:numId w:val="2"/>
        </w:numPr>
        <w:spacing w:after="80" w:line="280"/>
      </w:pPr>
      <w:r>
        <w:rPr>
          <w:sz w:val="22"/>
          <w:szCs w:val="22"/>
        </w:rPr>
        <w:t xml:space="preserve">下游应用：人工智能及AI算力、AI服务器、数据中心、高速通信和交换机、汽车电子及新能源汽车、智能驾驶、工业互联、医疗仪器、计算机、航空航天和消费电子等</w:t>
      </w:r>
    </w:p>
    <w:p>
      <w:pPr>
        <w:pStyle w:val="ListParagraph"/>
        <w:numPr>
          <w:ilvl w:val="0"/>
          <w:numId w:val="2"/>
        </w:numPr>
        <w:spacing w:after="80" w:line="280"/>
      </w:pPr>
      <w:r>
        <w:rPr>
          <w:sz w:val="22"/>
          <w:szCs w:val="22"/>
        </w:rPr>
        <w:t xml:space="preserve">2025年PCB制造业务收入180.84亿元，占营业收入93.74%；其他业务收入12.09亿元，占比6.26%</w:t>
      </w:r>
    </w:p>
    <w:p>
      <w:pPr>
        <w:pStyle w:val="ListParagraph"/>
        <w:numPr>
          <w:ilvl w:val="0"/>
          <w:numId w:val="2"/>
        </w:numPr>
        <w:spacing w:after="80" w:line="280"/>
      </w:pPr>
      <w:r>
        <w:rPr>
          <w:sz w:val="22"/>
          <w:szCs w:val="22"/>
        </w:rPr>
        <w:t xml:space="preserve">2025年直接出口收入148.21亿元，占营业收入76.83%；内销收入44.71亿元，占比23.17%</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胜宏科技位于PCB产业链中游，属于以高阶HDI、高多层板和柔性电路板为核心的高端电子互连制造商。其利润改善主要由AI算力和数据中心需求驱动的产品结构升级、客户认证壁垒、全球化交付能力、规模扩产和智慧工厂降本共同推动，而不是由上游资源控制或终端品牌溢价驱动。</w:t>
      </w:r>
    </w:p>
    <w:p>
      <w:pPr>
        <w:pStyle w:val="ListParagraph"/>
        <w:numPr>
          <w:ilvl w:val="0"/>
          <w:numId w:val="2"/>
        </w:numPr>
        <w:spacing w:after="80" w:line="280"/>
      </w:pPr>
      <w:r>
        <w:rPr>
          <w:sz w:val="22"/>
          <w:szCs w:val="22"/>
        </w:rPr>
        <w:t xml:space="preserve">主要采购覆铜板、半固化片、铜球、铜箔以及相关化学材料和辅助材料。覆铜板、半固化片、铜球和铜箔是公司披露的主要原材料。</w:t>
      </w:r>
    </w:p>
    <w:p>
      <w:pPr>
        <w:pStyle w:val="ListParagraph"/>
        <w:numPr>
          <w:ilvl w:val="0"/>
          <w:numId w:val="2"/>
        </w:numPr>
        <w:spacing w:after="80" w:line="280"/>
      </w:pPr>
      <w:r>
        <w:rPr>
          <w:sz w:val="22"/>
          <w:szCs w:val="22"/>
        </w:rPr>
        <w:t xml:space="preserve">2025年PCB制造成本中，原材料成本82.37亿元，占PCB制造成本65.91%；直接人工15.09亿元，占比12.07%；制造费用27.51亿元，占比22.02%。</w:t>
      </w:r>
    </w:p>
    <w:p>
      <w:pPr>
        <w:pStyle w:val="ListParagraph"/>
        <w:numPr>
          <w:ilvl w:val="0"/>
          <w:numId w:val="2"/>
        </w:numPr>
        <w:spacing w:after="80" w:line="280"/>
      </w:pPr>
      <w:r>
        <w:rPr>
          <w:sz w:val="22"/>
          <w:szCs w:val="22"/>
        </w:rPr>
        <w:t xml:space="preserve">2024年原材料成本占比为62.67%，2025年升至65.91%，上升3.24个百分点，原材料仍是利润率的重要影响因素。</w:t>
      </w:r>
    </w:p>
    <w:p>
      <w:pPr>
        <w:pStyle w:val="ListParagraph"/>
        <w:numPr>
          <w:ilvl w:val="0"/>
          <w:numId w:val="2"/>
        </w:numPr>
        <w:spacing w:after="80" w:line="280"/>
      </w:pPr>
      <w:r>
        <w:rPr>
          <w:sz w:val="22"/>
          <w:szCs w:val="22"/>
        </w:rPr>
        <w:t xml:space="preserve">原材料价格受到铜、黄金、石油等大宗商品价格以及高端覆铜板供需关系影响，公司对上游铜材、覆铜板和高端基材供应商不存在完全的定价控制权，更接近“部分转嫁、部分承受”的成本传导模式。</w:t>
      </w:r>
    </w:p>
    <w:p>
      <w:pPr>
        <w:pStyle w:val="ListParagraph"/>
        <w:numPr>
          <w:ilvl w:val="0"/>
          <w:numId w:val="2"/>
        </w:numPr>
        <w:spacing w:after="80" w:line="280"/>
      </w:pPr>
      <w:r>
        <w:rPr>
          <w:sz w:val="22"/>
          <w:szCs w:val="22"/>
        </w:rPr>
        <w:t xml:space="preserve">2025年前五大供应商采购金额54.18亿元，占年度采购总额31.52%；单一最大供应商占比9.60%。公司未披露前五大供应商名称，无法进一步判断其是否集中于覆铜板、铜材或化学材料环节。</w:t>
      </w:r>
    </w:p>
    <w:p>
      <w:pPr>
        <w:pStyle w:val="ListParagraph"/>
        <w:numPr>
          <w:ilvl w:val="0"/>
          <w:numId w:val="2"/>
        </w:numPr>
        <w:spacing w:after="80" w:line="280"/>
      </w:pPr>
      <w:r>
        <w:rPr>
          <w:sz w:val="22"/>
          <w:szCs w:val="22"/>
        </w:rPr>
        <w:t xml:space="preserve">公司具有规模采购、供应链管理和工艺降本能力，但整体仍属于原材料价格的部分接受者。</w:t>
      </w:r>
    </w:p>
    <w:p>
      <w:pPr>
        <w:pStyle w:val="ListParagraph"/>
        <w:numPr>
          <w:ilvl w:val="0"/>
          <w:numId w:val="2"/>
        </w:numPr>
        <w:spacing w:after="80" w:line="280"/>
      </w:pPr>
      <w:r>
        <w:rPr>
          <w:sz w:val="22"/>
          <w:szCs w:val="22"/>
        </w:rPr>
        <w:t xml:space="preserve">主要客户包括AI服务器和数据中心产业链客户、GPU及AI算力卡厂商、交换机和高速通信设备厂商，以及汽车电子、智能驾驶、消费电子和工业控制客户。</w:t>
      </w:r>
    </w:p>
    <w:p>
      <w:pPr>
        <w:pStyle w:val="ListParagraph"/>
        <w:numPr>
          <w:ilvl w:val="0"/>
          <w:numId w:val="2"/>
        </w:numPr>
        <w:spacing w:after="80" w:line="280"/>
      </w:pPr>
      <w:r>
        <w:rPr>
          <w:sz w:val="22"/>
          <w:szCs w:val="22"/>
        </w:rPr>
        <w:t xml:space="preserve">2025年前五大客户销售金额80.98亿元，占年度销售总额41.98%；第一大客户占比14.97%，第二大客户占比12.56%，第三大客户占比9.52%。上述数据为2025年口径，公司未披露客户名称，无法确认具体客户身份；该客户集中度数据来源于公司2025年年度报告，具体以最新年报为准。</w:t>
      </w:r>
    </w:p>
    <w:p>
      <w:pPr>
        <w:pStyle w:val="ListParagraph"/>
        <w:numPr>
          <w:ilvl w:val="0"/>
          <w:numId w:val="2"/>
        </w:numPr>
        <w:spacing w:after="80" w:line="280"/>
      </w:pPr>
      <w:r>
        <w:rPr>
          <w:sz w:val="22"/>
          <w:szCs w:val="22"/>
        </w:rPr>
        <w:t xml:space="preserve">2024年前五大客户销售占比为20.03%，2025年升至41.98%，客户集中度显著提高。该变化可能与AI算力和数据中心订单增长有关，但由于客户名称和客户类型未披露，不能完全排除并表范围变化、客户结构变化或大客户订单集中确认等因素。</w:t>
      </w:r>
    </w:p>
    <w:p>
      <w:pPr>
        <w:pStyle w:val="ListParagraph"/>
        <w:numPr>
          <w:ilvl w:val="0"/>
          <w:numId w:val="2"/>
        </w:numPr>
        <w:spacing w:after="80" w:line="280"/>
      </w:pPr>
      <w:r>
        <w:rPr>
          <w:sz w:val="22"/>
          <w:szCs w:val="22"/>
        </w:rPr>
        <w:t xml:space="preserve">普通PCB产品竞争较充分，下游客户具有较强比价能力；高阶HDI、高多层、高速高频PCB由于认证周期长、工艺难度高和供应商切换成本高，公司技术与交付能力可增强议价能力。</w:t>
      </w:r>
    </w:p>
    <w:p>
      <w:pPr>
        <w:pStyle w:val="ListParagraph"/>
        <w:numPr>
          <w:ilvl w:val="0"/>
          <w:numId w:val="2"/>
        </w:numPr>
        <w:spacing w:after="80" w:line="280"/>
      </w:pPr>
      <w:r>
        <w:rPr>
          <w:sz w:val="22"/>
          <w:szCs w:val="22"/>
        </w:rPr>
        <w:t xml:space="preserve">头部服务器、GPU和数据中心客户规模大、采购集中度高，通常仍具有较强商务议价能力。公司面向该类客户的具体价格条款和年降安排未在研究纪要中披露。</w:t>
      </w:r>
    </w:p>
    <w:p>
      <w:pPr>
        <w:pStyle w:val="ListParagraph"/>
        <w:numPr>
          <w:ilvl w:val="0"/>
          <w:numId w:val="2"/>
        </w:numPr>
        <w:spacing w:after="80" w:line="280"/>
      </w:pPr>
      <w:r>
        <w:rPr>
          <w:sz w:val="22"/>
          <w:szCs w:val="22"/>
        </w:rPr>
        <w:t xml:space="preserve">2025年全部收入均采用赊销模式，赊销比例为100%，表明公司存在一定营运资金占用。具体客户账期、信用质量及应收账款余额需结合最新年报进一步核实。</w:t>
      </w:r>
    </w:p>
    <w:p>
      <w:pPr>
        <w:pStyle w:val="ListParagraph"/>
        <w:numPr>
          <w:ilvl w:val="0"/>
          <w:numId w:val="2"/>
        </w:numPr>
        <w:spacing w:after="80" w:line="280"/>
      </w:pPr>
      <w:r>
        <w:rPr>
          <w:sz w:val="22"/>
          <w:szCs w:val="22"/>
        </w:rPr>
        <w:t xml:space="preserve">2025年公司全部收入均采用赊销模式，赊销比例为100%，显示下游客户对营运资金存在占用。研究纪要未提取出应收账款余额、应收账款周转天数及应收账款/收入的完整三年序列，因此不对具体应收账款比例作未经交叉核实的估算；预付款和应付账款的具体数据亦缺失。</w:t>
      </w:r>
    </w:p>
    <w:p>
      <w:pPr>
        <w:pStyle w:val="ListParagraph"/>
        <w:numPr>
          <w:ilvl w:val="0"/>
          <w:numId w:val="2"/>
        </w:numPr>
        <w:spacing w:after="80" w:line="280"/>
      </w:pPr>
      <w:r>
        <w:rPr>
          <w:sz w:val="22"/>
          <w:szCs w:val="22"/>
        </w:rPr>
        <w:t xml:space="preserve">上游方面，2025年前五大供应商采购金额占年度采购总额31.52%，单一最大供应商占比9.60%；下游方面，2025年前五大客户销售占比41.98%，高于2024年的20.03%。供应商和客户名称均未披露，客户集中度上升的具体原因及供应商所处材料环节无法完全确认；相关集中度数据主要来自公司2025年年度报告，具体以最新年报为准。</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2023年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约20.72%</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约8.46%</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根据营业收入79.31亿元、营业成本62.88亿元和归母净利润6.71亿元计算。PCB行业处于库存和需求调整阶段，产品结构及价格环境相对普通，高端AI相关需求尚未形成明显放量。</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约22.72%</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约10.76%</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根据营业收入107.31亿元、营业成本82.93亿元和归母净利润11.54亿元计算。PCB需求修复，高端产品和海外业务增长，规模效应及MFS并表推动收入和利润提升，但原材料仍对毛利率形成约束。</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2025年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约35.23%</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约22.35%</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根据营业收入192.92亿元、营业成本124.97亿元和归母净利润43.12亿元计算。AI算力、数据中心和高性能计算相关产品快速放量，高端多层板及高阶HDI占比提升，叠加规模效应、客户认证壁垒和技术稀缺性，显著改善单位价值和盈利能力。</w:t>
            </w:r>
          </w:p>
        </w:tc>
      </w:tr>
    </w:tbl>
    <w:p>
      <w:pPr>
        <w:spacing w:before="200"/>
      </w:pPr>
    </w:p>
    <w:p>
      <w:pPr>
        <w:spacing w:after="160" w:line="300"/>
      </w:pPr>
      <w:r>
        <w:rPr>
          <w:sz w:val="22"/>
          <w:szCs w:val="22"/>
        </w:rPr>
        <w:t xml:space="preserve">公司处于PCB产业链中游的高端电子互连制造环节，整体属于中游加工制造而非上游资源或下游品牌端。进一步提升利润率主要依赖高阶HDI、高多层板等高价值产品占比提升、AI服务器和数据中心需求增长、客户认证及技术壁垒、规模效应、全球化交付和智慧工厂降本；公司仍需部分承受铜材、覆铜板等原材料价格波动及头部客户的商务议价压力。上述2023—2025年毛利率为根据合并营业收入和营业成本计算的估算值，净利率为归母净利润/营业收入计算值，并非年报直接列示的销售毛利率或销售净利率。</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2026年上半年（2026年1月1日至6月30日，未经审计）</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116.2937亿元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同比增长28.77%</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归母净利润28.5678亿元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同比增长33.30%</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2026年第二季度</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约61.10亿元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同比增长约29.49%，环比增长约10.70%</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归母净利润约15.68亿元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同比增长约28.29%，环比增长约21.73%</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2025年上半年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90.3087亿元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未提供同比增速</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未提供</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未提供</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2025年度</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192.9231亿元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同比增长79.77%</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归母净利润43.1199亿元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同比增长273.52%</w:t>
            </w:r>
          </w:p>
        </w:tc>
      </w:tr>
    </w:tbl>
    <w:p>
      <w:pPr>
        <w:spacing w:after="200"/>
      </w:pPr>
      <w:r>
        <w:rPr>
          <w:i/>
          <w:iCs/>
          <w:color w:val="595959"/>
          <w:sz w:val="18"/>
          <w:szCs w:val="18"/>
        </w:rPr>
        <w:t xml:space="preserve">最新正式财报为公司于2026年8月28日披露的2026年半年度报告，报告期截至2026年6月30日，未经审计。2026年上半年扣非归母净利润为24.1780亿元，同比增长12.50%；2026年第二季度扣非归母净利润约11.61亿元，同比下降约5.28%、环比下降约7.69%。2026年上半年基本每股收益为3.14元，同比增长25.60%；经营活动产生的现金流量净额为29.1118亿元，同比增长144.61%。</w:t>
      </w:r>
    </w:p>
    <w:p>
      <w:pPr>
        <w:spacing w:after="160" w:line="300"/>
      </w:pPr>
      <w:r>
        <w:rPr>
          <w:sz w:val="22"/>
          <w:szCs w:val="22"/>
        </w:rPr>
        <w:t xml:space="preserve">2026年上半年公司收入和归母净利润保持较快增长，但扣非归母净利润增速明显低于归母净利润，且二季度扣非利润同比、环比均下降，需关注非经常性损益对利润的增厚。公司披露当期非经常性损益合计约4.39亿元，其中包含金融资产公允价值变动等项目。机构分析认为，二季度利润率受到提前招工、新产能折旧及产能爬坡等因素影响，短期存在收入增长快于经营利润增长的情况。2025年度业绩快速增长，主要受AI服务器、数据中心及高端PCB产品放量带动。</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截至2026年9月12日，同花顺数据显示，近6个月内共有19家机构对胜宏科技2026年度业绩进行预测。上述市场平均值为券商研报汇总值，不是公司业绩指引，也不是审计数据；机构间预测分歧较大。主要机构预测中，华安证券预计2026年至2028年营业收入为318.75亿元、541.19亿元和779.58亿元，归母净利润为80.17亿元、141.01亿元和204.93亿元；国盛证券预计营业收入为321亿元、535亿元和744亿元，归母净利润为89亿元、159亿元和225亿元；中国银河预计营业收入为307.47亿元、504.60亿元和778.06亿元，归母净利润为70.55亿元、102.36亿元和144.49亿元。</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市场平均值未提供；机构预测大致集中在约307亿元至334亿元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市场平均84.90亿元；机构区间约67.19亿至99.39亿元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未提供市场平均同比增速</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市场平均9.02元；机构区间约7.18元至11.39元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2027年</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市场平均值未提供；主要机构预测约504.60亿元至550亿元，另有535亿元、541.19亿元等预测</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市场平均144.65亿元；机构区间约99.04亿至174.07亿元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未提供市场平均同比增速</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市场平均15.32元；机构区间约10.42元至19.95元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市场平均值未提供；主要机构预测约744亿元至780亿元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市场平均219.42亿元；机构区间约144.49亿至257.16亿元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未提供市场平均同比增速</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市场平均23.15元；机构区间约14.70元至29.19元</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高盛</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2026年9月3日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目标价550元；以2027年预测PE约26.3倍为基础。</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美银证券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2026年9月1日前后</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目标价367元，此前为455元；估值依据约25倍2027年预测市盈率。将2026年归母净利润预测由82.67亿元下调至约76.89亿元。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中国银河</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买入/推荐</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2026年9月7日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2026年至2028年归母净利润预测约70.55亿元、102.36亿元和144.49亿元；公开汇总信息未显示明确目标价。</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华安证券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2026年9月3日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2026年至2028年归母净利润预测约80.17亿元、141.01亿元和204.93亿元；公开汇总信息未显示明确目标价。</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华西证券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2026年8月31日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2026年至2028年归母净利润预测约77.12亿元、134.10亿元和212.15亿元；公开汇总信息未显示明确目标价。</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国盛证券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2026年8月30日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2026年至2028年归母净利润预测分别为89亿元、159亿元和225亿元；公开汇总信息未显示明确目标价。</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甬兴证券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2026年7月6日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2026年至2028年归母净利润预测分别为79.74亿元、141.20亿元和212.09亿元；公开汇总信息未显示明确目标价。</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机构评级汇总</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以买入和增持为主</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截至2026年9月初</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同花顺汇总显示近6个月内约15家机构给出买入评级、2家给出增持评级，未见公开汇总中的中性、减持或卖出评级。</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市场目标价汇总</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整体偏向强力买入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截至2026年9月初</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Investing.com公开汇总显示12个月平均目标价约416.68元，最高550元，最低345元；可能同时纳入A股和港股机构观点，仅供辅助参考。</w:t>
            </w:r>
          </w:p>
        </w:tc>
      </w:tr>
    </w:tbl>
    <w:p>
      <w:pPr>
        <w:spacing w:before="200"/>
      </w:pPr>
    </w:p>
    <w:p>
      <w:pPr>
        <w:spacing w:after="160" w:line="300"/>
      </w:pPr>
      <w:r>
        <w:rPr>
          <w:sz w:val="22"/>
          <w:szCs w:val="22"/>
        </w:rPr>
        <w:t xml:space="preserve">截至2026年9月11日，胜宏科技A股收盘价为228.99元，总市值约2250亿至2260亿元；2026年9月7日前后动态PE约44.97倍，PB约5.96倍。按2025年基本每股收益5.01元计算，静态PE约45.7倍；按同花顺19家机构平均预测EPS计算，2026年、2027年和2028年预测PE分别约25.4倍、14.9倍至15.0倍和9.9倍。按市场平均预测归母净利润84.90亿元及总市值约2250.48亿元计算，2026年预测PE约26.5倍。以9月11日收盘价对9月7日前后数据粗略调整，PB约5.9倍。当前估值按2025年静态业绩衡量并不低，市场定价核心建立在2026年至2028年AI PCB需求持续增长、新产能快速释放及高阶产品占比提升的预期之上。机构对盈利和目标价分歧较大，2026年归母净利润预测区间约67亿至99亿元；公开可见目标价大致为367元、416.68元平均目标价和550元最高目标价。后续需重点跟踪新产能爬坡、扣非净利润增速、毛利率修复、产能利用率及AI客户订单持续性。最新正式财报截至2026年6月30日且未经审计，机构盈利预测截至2026年9月12日，为券商预测汇总，不代表公司业绩承诺；2026年9月14日的实时或收盘估值数据未稳定呈现，因此估值以2026年9月11日收盘价为基准。</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2026年半年度报告：收入及归母净利润保持增长</w:t>
      </w:r>
    </w:p>
    <w:p>
      <w:pPr>
        <w:spacing w:after="160" w:line="300"/>
      </w:pPr>
      <w:r>
        <w:rPr>
          <w:sz w:val="22"/>
          <w:szCs w:val="22"/>
        </w:rPr>
        <w:t xml:space="preserve">胜宏科技于2026年8月28日披露2026年半年度报告。2026年上半年营业收入为116.29亿元，同比增长28.77%；归属于上市公司股东的净利润为28.57亿元，同比增长33.30%；经营活动产生的现金流量净额为29.11亿元，同比增长144.61%。报告期内新拓展客户超过50家，其中一半以上为AI领域高端客户，部分AI算力、数据中心、光模块等领域的高端PCB产品已实现大规模量产。公司已具备100层以上高多层板制造能力，实现6阶24层HDI产品大规模生产及16层任意层互联HDI技术能力。需关注营业成本同比增长34.83%，高于营业收入增速，以及财务费用同比增长694.35%，主要与汇兑损失及利息支出增加有关。</w:t>
      </w:r>
    </w:p>
    <w:p>
      <w:pPr>
        <w:pStyle w:val="Heading2"/>
        <w:spacing w:after="120" w:before="240"/>
      </w:pPr>
      <w:r>
        <w:rPr>
          <w:b/>
          <w:bCs/>
          <w:color w:val="2E74B5"/>
          <w:sz w:val="24"/>
          <w:szCs w:val="24"/>
        </w:rPr>
        <w:t xml:space="preserve">4.2 投资者互动平台：AI客户项目推进符合预期</w:t>
      </w:r>
    </w:p>
    <w:p>
      <w:pPr>
        <w:spacing w:after="160" w:line="300"/>
      </w:pPr>
      <w:r>
        <w:rPr>
          <w:sz w:val="22"/>
          <w:szCs w:val="22"/>
        </w:rPr>
        <w:t xml:space="preserve">2026年9月8日，公司在投资者互动平台表示，2026年上半年新拓展客户超过50家，其中一半以上属于AI领域高端客户；部分大客户的新一代产品已进入大批量生产阶段，核心算力、通信等客户项目推进符合预期。该信息主要来自投资者互动平台及财经媒体转述，尚未形成单独的业绩公告或订单公告，不能直接等同于未来业绩承诺，具体经营情况以后续定期报告为准。</w:t>
      </w:r>
    </w:p>
    <w:p>
      <w:pPr>
        <w:pStyle w:val="Heading2"/>
        <w:spacing w:after="120" w:before="240"/>
      </w:pPr>
      <w:r>
        <w:rPr>
          <w:b/>
          <w:bCs/>
          <w:color w:val="2E74B5"/>
          <w:sz w:val="24"/>
          <w:szCs w:val="24"/>
        </w:rPr>
        <w:t xml:space="preserve">4.3 实际控制人家族内部股权结构调整，一致行动协议生效</w:t>
      </w:r>
    </w:p>
    <w:p>
      <w:pPr>
        <w:spacing w:after="160" w:line="300"/>
      </w:pPr>
      <w:r>
        <w:rPr>
          <w:sz w:val="22"/>
          <w:szCs w:val="22"/>
        </w:rPr>
        <w:t xml:space="preserve">2026年8月28日，公司披露实际控制人家族内部股权结构调整及一致行动协议事项。实际控制人陈涛将其持有的控股股东深圳市胜华欣业投资有限公司39%的股权，以及上层股东惠州市宏大投资发展有限公司35%的股权转让给其配偶刘春兰。调整后，陈涛持有胜华欣业51%股权，刘春兰持有49%股权；双方签署长期有效的一致行动协议。此次调整不涉及公司股份直接转让，控股股东及其一致行动人持有公司股份数量、持股比例和表决权未发生变化，控股股东仍为胜华欣业，实际控制人仍为陈涛，不触及要约收购，也不会导致公司业务和治理结构发生变化。</w:t>
      </w:r>
    </w:p>
    <w:p>
      <w:pPr>
        <w:pStyle w:val="Heading2"/>
        <w:spacing w:after="120" w:before="240"/>
      </w:pPr>
      <w:r>
        <w:rPr>
          <w:b/>
          <w:bCs/>
          <w:color w:val="2E74B5"/>
          <w:sz w:val="24"/>
          <w:szCs w:val="24"/>
        </w:rPr>
        <w:t xml:space="preserve">4.4 员工持股计划及限制性股票激励计划进入股东会审议阶段</w:t>
      </w:r>
    </w:p>
    <w:p>
      <w:pPr>
        <w:spacing w:after="160" w:line="300"/>
      </w:pPr>
      <w:r>
        <w:rPr>
          <w:sz w:val="22"/>
          <w:szCs w:val="22"/>
        </w:rPr>
        <w:t xml:space="preserve">公司于2026年7月20日披露2026年A股限制性股票激励计划和2026年第一期A股员工持股计划草案，并于2026年9月3日披露相关法律意见书及第三次临时股东会通知。员工持股计划拟参加员工不超过564人，其中董事及高级管理人员4人；拟筹集资金总额不超过7亿元；可通过融资融券等方式融资，融资资金与自筹资金比例不超过1∶1，金融机构融资金额不超过3.5亿元；股票来源为二级市场购买；计划存续期为60个月，股票锁定期为12个月。公司计划于2026年9月18日召开第三次临时股东会审议相关事项，最终购买股票数量、价格和实施结果存在不确定性。</w:t>
      </w:r>
    </w:p>
    <w:p>
      <w:pPr>
        <w:pStyle w:val="Heading2"/>
        <w:spacing w:after="120" w:before="240"/>
      </w:pPr>
      <w:r>
        <w:rPr>
          <w:b/>
          <w:bCs/>
          <w:color w:val="2E74B5"/>
          <w:sz w:val="24"/>
          <w:szCs w:val="24"/>
        </w:rPr>
        <w:t xml:space="preserve">4.5 限制性股票激励对象公示无异议</w:t>
      </w:r>
    </w:p>
    <w:p>
      <w:pPr>
        <w:spacing w:after="160" w:line="300"/>
      </w:pPr>
      <w:r>
        <w:rPr>
          <w:sz w:val="22"/>
          <w:szCs w:val="22"/>
        </w:rPr>
        <w:t xml:space="preserve">2026年9月11日，公司披露限制性股票激励计划首次授予激励对象名单公示及核查情况。公示期为2026年9月2日至9月11日，公示期内未收到异议。首次授予对象主要为公司及子公司的中层管理人员、核心技术和业务骨干，不包括董事、高级管理人员、5%以上股东、实际控制人及其配偶、父母、子女。相关激励计划截至研究纪要统计时点尚未完成股东会审议及实际实施。</w:t>
      </w:r>
    </w:p>
    <w:p>
      <w:pPr>
        <w:pStyle w:val="Heading2"/>
        <w:spacing w:after="120" w:before="240"/>
      </w:pPr>
      <w:r>
        <w:rPr>
          <w:b/>
          <w:bCs/>
          <w:color w:val="2E74B5"/>
          <w:sz w:val="24"/>
          <w:szCs w:val="24"/>
        </w:rPr>
        <w:t xml:space="preserve">4.6 三级全资子公司之间新增担保合计3000万元</w:t>
      </w:r>
    </w:p>
    <w:p>
      <w:pPr>
        <w:spacing w:after="160" w:line="300"/>
      </w:pPr>
      <w:r>
        <w:rPr>
          <w:sz w:val="22"/>
          <w:szCs w:val="22"/>
        </w:rPr>
        <w:t xml:space="preserve">2026年9月1日，公司披露三级全资子公司之间提供担保的进展公告。湖南维胜科技电路板有限公司为湖南维胜科技有限公司提供2,000万元连带责任保证担保，湖南维胜科技有限公司为湖南维胜科技电路板有限公司提供1,000万元连带责任保证担保，两笔担保均由中信银行长沙分行提供授信。上述担保属于全资子公司之间的互保，已纳入公司2026年度不超过26.3445亿元的担保额度，无需再次提交董事会或股东会审议。截至公告披露日，公司及控股子公司实际提供担保余额累计为22.443084亿元，其中11.119504亿元为子公司相互担保，占公司2025年末经审计净资产的13.51%。公司及控股子公司不存在对合并报表范围外单位提供担保的情况，也不存在逾期担保或因担保被判决败诉而承担损失的情况。</w:t>
      </w:r>
    </w:p>
    <w:p>
      <w:pPr>
        <w:pStyle w:val="Heading2"/>
        <w:spacing w:after="120" w:before="240"/>
      </w:pPr>
      <w:r>
        <w:rPr>
          <w:b/>
          <w:bCs/>
          <w:color w:val="2E74B5"/>
          <w:sz w:val="24"/>
          <w:szCs w:val="24"/>
        </w:rPr>
        <w:t xml:space="preserve">4.7 控股股东一致行动人陈勇解除部分质押并新增质押</w:t>
      </w:r>
    </w:p>
    <w:p>
      <w:pPr>
        <w:spacing w:after="160" w:line="300"/>
      </w:pPr>
      <w:r>
        <w:rPr>
          <w:sz w:val="22"/>
          <w:szCs w:val="22"/>
        </w:rPr>
        <w:t xml:space="preserve">2026年8月12日，公司披露控股股东一致行动人陈勇的股份质押变动。陈勇于2026年8月7日解除两笔合计37.4万股质押，并于2026年8月10日新增质押89万股，质押到期日为2028年8月10日，质权人为招商证券。本次新增质押股份占公司总股本的0.09%，占陈勇所持公司股份的38.75%。截至2026年8月8日，公司整体质押股份约98.96万股，占总股本约0.11%，累计质押市值约2.77亿元；截至2026年9月4日，第三方数据平台显示公司质押总股数约187.96万股，质押比例约0.22%。第三方平台数据与公司公告统计时点和口径可能存在差异，应以公司后续公告及中国结算数据为准。</w:t>
      </w:r>
    </w:p>
    <w:p>
      <w:pPr>
        <w:pStyle w:val="Heading2"/>
        <w:spacing w:after="120" w:before="240"/>
      </w:pPr>
      <w:r>
        <w:rPr>
          <w:b/>
          <w:bCs/>
          <w:color w:val="2E74B5"/>
          <w:sz w:val="24"/>
          <w:szCs w:val="24"/>
        </w:rPr>
        <w:t xml:space="preserve">4.8 股票交易异常波动及交易风险提示</w:t>
      </w:r>
    </w:p>
    <w:p>
      <w:pPr>
        <w:spacing w:after="160" w:line="300"/>
      </w:pPr>
      <w:r>
        <w:rPr>
          <w:sz w:val="22"/>
          <w:szCs w:val="22"/>
        </w:rPr>
        <w:t xml:space="preserve">公司于2026年8月7日披露股票交易异常波动公告。公司公告和投资者问答均未披露新的重大订单、重大资产重组或足以改变公司基本面的未公开事项。近期市场上涨逻辑主要围绕AI服务器、高端PCB、算力和HDI需求展开，公司提示具体业绩仍以后续定期报告为准，不宜将行业主题热度等同于公司业绩兑现。公告列表显示，近期未发现新的重大资产重组或并购交易公告。</w:t>
      </w:r>
    </w:p>
    <w:p>
      <w:pPr>
        <w:pStyle w:val="Heading2"/>
        <w:spacing w:after="120" w:before="240"/>
      </w:pPr>
      <w:r>
        <w:rPr>
          <w:b/>
          <w:bCs/>
          <w:color w:val="2E74B5"/>
          <w:sz w:val="24"/>
          <w:szCs w:val="24"/>
        </w:rPr>
        <w:t xml:space="preserve">4.9 近期未披露新的业绩预告</w:t>
      </w:r>
    </w:p>
    <w:p>
      <w:pPr>
        <w:spacing w:after="160" w:line="300"/>
      </w:pPr>
      <w:r>
        <w:rPr>
          <w:sz w:val="22"/>
          <w:szCs w:val="22"/>
        </w:rPr>
        <w:t xml:space="preserve">截至2026年9月14日，未检索到公司针对2026年前三季度或2026年度发布新的业绩预告。公司最近一份正式业绩预告为2026年1月披露的《2025年度业绩预告》，预计2025年度归母净利润为41.60亿元至45.60亿元，同比增长260.35%至295.00%，该事项属于历史信息。当前最新正式业绩数据为2026年半年度报告中的归母净利润28.57亿元，同比增长33.30%。</w:t>
      </w:r>
    </w:p>
    <w:p>
      <w:pPr>
        <w:pStyle w:val="Heading2"/>
        <w:spacing w:after="120" w:before="240"/>
      </w:pPr>
      <w:r>
        <w:rPr>
          <w:b/>
          <w:bCs/>
          <w:color w:val="2E74B5"/>
          <w:sz w:val="24"/>
          <w:szCs w:val="24"/>
        </w:rPr>
        <w:t xml:space="preserve">4.10 近期未发现股份回购、集中减持或重大并购公告</w:t>
      </w:r>
    </w:p>
    <w:p>
      <w:pPr>
        <w:spacing w:after="160" w:line="300"/>
      </w:pPr>
      <w:r>
        <w:rPr>
          <w:sz w:val="22"/>
          <w:szCs w:val="22"/>
        </w:rPr>
        <w:t xml:space="preserve">截至2026年9月14日，未检索到公司在2026年8月至9月新披露股份回购方案、回购进展或回购注销公告；2026年半年度报告显示，报告期内股份回购实施进展情况不适用。同期未检索到控股股东或董事、高管新发布的集中竞价或大宗交易减持计划公告，也未检索到新的重大资产购买、资产出售、发行股份购买资产或重大资产重组公告。员工持股计划拟通过二级市场购买公司股票，但不属于上市公司股份回购。</w:t>
      </w:r>
    </w:p>
    <w:p>
      <w:pPr>
        <w:pStyle w:val="Heading2"/>
        <w:spacing w:after="120" w:before="240"/>
      </w:pPr>
      <w:r>
        <w:rPr>
          <w:b/>
          <w:bCs/>
          <w:color w:val="2E74B5"/>
          <w:sz w:val="24"/>
          <w:szCs w:val="24"/>
        </w:rPr>
        <w:t xml:space="preserve">4.11 监管及政策信息</w:t>
      </w:r>
    </w:p>
    <w:p>
      <w:pPr>
        <w:spacing w:after="160" w:line="300"/>
      </w:pPr>
      <w:r>
        <w:rPr>
          <w:sz w:val="22"/>
          <w:szCs w:val="22"/>
        </w:rPr>
        <w:t xml:space="preserve">截至2026年9月14日，未检索到深交所、证监会针对胜宏科技在2026年8月至9月采取监管措施、纪律处分或发出关注函、问询函的新增公告。公司2026年半年度持续督导跟踪报告显示，保荐机构国信证券在持续督导期间未发现公司在信息披露、内部制度执行、三会运作、募集资金使用等方面存在需要关注的重大问题，也未发现公司及股东存在承诺未正常履行的情况。2026年9月证监会继续强调提高上市公司质量、支持并购重组，并引导上市公司通过股权激励、分红和回购提升投资者回报；该政策属于市场层面政策，不是针对胜宏科技的专项政策。</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收盘价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225.00元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日涨跌</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下跌3.99元，跌幅1.74%</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前收盘价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228.99元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当日开盘价</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223.00元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当日价格区间</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220.31～228.30元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总市值</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约2,186.10亿元；不同平台存在口径差异</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动态市盈率/TTM市盈率</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约44.00倍</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市净率</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约5.7倍</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52周价格区间</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177.88～402.60元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近一年涨跌幅</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约-33.74%</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当日成交量</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约1,573万股</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近3个月日均成交量</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约3,778万股</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近期价格走势</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2026年8月13日盘中最高287.68元；2026年9月14日收盘225.00元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较8月13日阶段高点回落约21.8%，高位快速回落后呈弱势震荡；较52周高点402.60元回撤约44.1%</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MA5 / MA10 / MA20 / MA50</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225.37元 / 225.73元 / 228.48元 / 227.84元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收盘价略低于上述均线，短线均线距离较小，呈弱势横向整理</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MA100 / MA200</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238.06元 / 239.24元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均线明显高于现价，中期趋势尚未修复</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EMA5 / EMA10 / EMA20 / EMA50 / EMA100 / EMA200</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225.25元 / 226.45元 / 227.15元 / 230.73元 / 234.12元 / 249.06元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现价低于各主要指数移动平均线，整体技术结构偏弱</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均线综合信号</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强力卖出；12项均线指标均显示卖出信号</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均线系统对短中期趋势的指示偏空</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MACD（12,26）</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约-0.950，截至2026年9月14日</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位于零轴下方，短中期趋势偏弱；负值幅度不算极端，暂未形成明显超跌反转信号。不同平台数值存在较大口径差异，不宜直接比较绝对值</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RSI（14）</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约43.52，截至2026年9月14日</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低于50但高于30，短线动能偏弱但尚未进入传统超卖区间</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布林带</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中轨约250.67元，上轨约286.97元，下轨约214.37元；数据截至2026年9月9日</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收盘价位于布林带下半区，距离参考下轨约10.63元；该数据并非9月14日收盘后的最新精确值，仅作参考</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经典枢轴点</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枢轴点223.97元；S1为221.68元，S2为220.37元，S3为218.08元；R1为225.28元，R2为227.57元，R3为228.88元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225元附近为短线多空争夺区，向上需重新站稳228～230元，向下重点观察220元附近承接</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近期成交量与均值</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9月14日约1,573万股；近3个月日均约3,778万股</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9月14日下跌时成交量低于近3个月日均水平，暂时更接近缩量回落，而非极端恐慌性抛售</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阶段成交量与价格表现</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2026年8月28日成交量约5,728万股，收盘下跌8.15%；9月11日成交量约2,344.40万股</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近期放量下跌及量价分歧并存，量能尚未转化为明确上攻信号</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主力资金</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截至2026年9月7日，当日净流入约12.54亿元；近5个交易日合计净流出约14.00亿元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9月7日大涨当天有资金回流，但短周期资金仍净流出，持续性不足；该数据为行情平台估算，并非交易所直接披露</w:t>
            </w:r>
          </w:p>
        </w:tc>
      </w:tr>
    </w:tbl>
    <w:p>
      <w:pPr>
        <w:spacing w:before="200"/>
      </w:pPr>
    </w:p>
    <w:p>
      <w:pPr>
        <w:spacing w:after="160" w:line="300"/>
      </w:pPr>
      <w:r>
        <w:rPr>
          <w:sz w:val="22"/>
          <w:szCs w:val="22"/>
        </w:rPr>
        <w:t xml:space="preserve">胜宏科技截至2026年9月14日收盘价为225.00元，处于高位回落后的弱势震荡阶段。现价低于MA5、MA10、MA20、MA50、MA100及MA200，均线综合信号为“强力卖出”，MACD位于零轴下方，RSI低于50但未进入传统超卖区间，说明短中期技术面偏弱但尚未出现极端超卖。短线关键在于220～222元支撑和228.5～230.5元压力之间的突破方向；若上破压力区，需要成交量同步放大确认，若失守支撑区，则需关注214～218元强支撑。近期成交量低于近3个月日均水平，主力资金虽在9月7日出现单日回流，但近5个交易日仍为净流出，资金面尚未形成持续转强信号。</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风险提示：以下内容仅为基于截至2026年9月14日收盘数据的主观情景推演，不构成投资建议，也不是确定性价格预测。</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228.5～230.5元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228.48元附近对应MA20，227.84元附近对应MA50，230.50元为2026年9月11日盘中高点。若放量突破并站稳该区间，短线可观察233～238元区域；若多次冲击但量能不足，仍可能维持弱势震荡</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220～222元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包括2026年9月14日盘中低点220.31元、9月11日盘中低点221.00元及枢轴点S1附近的221.68元。若该区域失守，股价可能再次回探217～219元一带</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214～218元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对应2026年9月4日盘中低点217.44元、枢轴点S3附近及截至9月9日布林下轨参考值214.37元。若有效跌破该区域，可能打开向前期低点及布林下轨下方进一步下探的空间</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震荡整理（主观权重相对较高，约六成左右；为基于当前技术形态、成交量和资金流向的启发式判断，不是统计概率）：价格运行于220～230元区间。触发条件包括守住220～222元、成交量维持近期中等水平、AI硬件、PCB和算力产业链未出现明显集体杀跌，且股价未有效突破230.5元也未跌破217～220元。观察重点为228.5～230.5元压力和220～222元支撑</w:t>
      </w:r>
    </w:p>
    <w:p>
      <w:pPr>
        <w:pStyle w:val="ListParagraph"/>
        <w:numPr>
          <w:ilvl w:val="0"/>
          <w:numId w:val="2"/>
        </w:numPr>
        <w:spacing w:after="80" w:line="280"/>
      </w:pPr>
      <w:r>
        <w:rPr>
          <w:sz w:val="22"/>
          <w:szCs w:val="22"/>
        </w:rPr>
        <w:t xml:space="preserve">偏弱下行（主观权重中等；为基于当前技术形态、成交量和资金流向的启发式判断，不是统计概率）：价格可能运行至214～220元。触发条件包括收盘跌破220元、PCB、光模块或算力硬件等科技板块同步走弱、下跌日成交量放大且资金继续净流出，或融资盘出现明显减仓迹象。若220元失守，可观察217.44元附近承接；若进一步跌破214～218元强支撑区，技术面弱势可能加剧</w:t>
      </w:r>
    </w:p>
    <w:p>
      <w:pPr>
        <w:pStyle w:val="ListParagraph"/>
        <w:numPr>
          <w:ilvl w:val="0"/>
          <w:numId w:val="2"/>
        </w:numPr>
        <w:spacing w:after="80" w:line="280"/>
      </w:pPr>
      <w:r>
        <w:rPr>
          <w:sz w:val="22"/>
          <w:szCs w:val="22"/>
        </w:rPr>
        <w:t xml:space="preserve">反弹走强（主观权重偏低至中等；为基于当前技术形态、成交量和资金流向的启发式判断，不是统计概率）：价格可能反弹至230～238元。触发条件包括重新站回228.5～230.5元、成交量明显高于近期正常水平、主力资金连续多个交易日净流入，或AI算力、PCB板块同步反弹及公司出现新增订单、客户放量等改善市场预期的信息。若放量突破230.5元，可观察233～238元区域；在重新站上MA50、MA100之前，该情景更适合定义为超跌反弹或技术性修复，不能直接视为中期趋势反转</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截至2026年9月11日，换手率为2.71%，成交额约53.07亿元；9月10日、9月9日换手率分别约为2.05%、3.10%。截至9月14日，成交量约1,573万股，低于近3个月日均约3,778万股，说明近期量能较前期收缩。股东结构方面，截至2026年8月10日股东户数约269,119户，较7月31日增加5.94%；根据截至2026年6月30日的2026年半年度报告，前十大股东合计持股约33.65%，前两大一致行动股东合计持股约30.51%。前十大股东中包括香港中央结算、睿远基金、易方达创业板ETF和德邦基金等机构或通道型账户，但控制性股东及一致行动人占据主要集中持股比例。上述股东集中度数据截至2026年6月30日、股东户数数据截至2026年8月10日，均存在时间滞后，不能完全代表2026年9月14日的最新持仓结构。数据反映公司整体成交活跃、流动性较强，但近期量能收缩；控制性股东持股集中而除控制性股东外流通筹码相对分散，实际交易中的资金分歧和融资盘变化仍可能放大短线波动。</w:t>
      </w:r>
    </w:p>
    <w:p>
      <w:pPr>
        <w:spacing w:after="160" w:line="300"/>
      </w:pPr>
      <w:r>
        <w:rPr>
          <w:sz w:val="22"/>
          <w:szCs w:val="22"/>
        </w:rPr>
        <w:t xml:space="preserve">可检查的量能确认信号：若未来一周单日成交额能够连续放大至约65～75亿元以上，同时收盘价站稳230.5元，可视为短线资金重新增强、突破有效性提高的确认信号；若成交额放大但股价仍无法站上230元，需警惕放量分歧或资金借反弹减仓。</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观察220～222元区域能否形成有效支撑；该观察思路不构成买卖指令</w:t>
      </w:r>
    </w:p>
    <w:p>
      <w:pPr>
        <w:pStyle w:val="ListParagraph"/>
        <w:numPr>
          <w:ilvl w:val="0"/>
          <w:numId w:val="2"/>
        </w:numPr>
        <w:spacing w:after="80" w:line="280"/>
      </w:pPr>
      <w:r>
        <w:rPr>
          <w:sz w:val="22"/>
          <w:szCs w:val="22"/>
        </w:rPr>
        <w:t xml:space="preserve">观察214～218元强支撑区域是否出现明显承接，若跌破则短线弱势可能加剧；该观察思路不构成买卖指令</w:t>
      </w:r>
    </w:p>
    <w:p>
      <w:pPr>
        <w:pStyle w:val="ListParagraph"/>
        <w:numPr>
          <w:ilvl w:val="0"/>
          <w:numId w:val="2"/>
        </w:numPr>
        <w:spacing w:after="80" w:line="280"/>
      </w:pPr>
      <w:r>
        <w:rPr>
          <w:sz w:val="22"/>
          <w:szCs w:val="22"/>
        </w:rPr>
        <w:t xml:space="preserve">观察228.5～230.5元压力区能否伴随成交量放大而突破；该观察思路不构成买卖指令</w:t>
      </w:r>
    </w:p>
    <w:p>
      <w:pPr>
        <w:pStyle w:val="ListParagraph"/>
        <w:numPr>
          <w:ilvl w:val="0"/>
          <w:numId w:val="2"/>
        </w:numPr>
        <w:spacing w:after="80" w:line="280"/>
      </w:pPr>
      <w:r>
        <w:rPr>
          <w:sz w:val="22"/>
          <w:szCs w:val="22"/>
        </w:rPr>
        <w:t xml:space="preserve">观察成交额是否持续超过近期约50亿元的常态，并进一步达到65～75亿元；该观察思路不构成买卖指令</w:t>
      </w:r>
    </w:p>
    <w:p>
      <w:pPr>
        <w:spacing w:after="200"/>
      </w:pPr>
      <w:r>
        <w:rPr>
          <w:i/>
          <w:iCs/>
          <w:color w:val="595959"/>
          <w:sz w:val="18"/>
          <w:szCs w:val="18"/>
        </w:rPr>
        <w:t xml:space="preserve">以上情景推演基于2026年9月14日收盘数据及历史价格、技术指标测算，短期股价还会受消息面、资金面、大盘环境等多重因素扰动，技术指标本身存在滞后性和局限性，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PCB行业是电子信息产业的重要基础环节，胜宏科技主要参与刚性电路板、HDI、高多层板和柔性电路板制造。行业生产基地主要集中在亚洲，特别是中国大陆和东南亚；常规PCB竞争较充分，而高阶HDI、高多层、高速高频PCB及封装基板具有较高的技术、设备、良率和客户认证门槛。AI服务器、数据中心和高速交换机需求推动行业向高端化集中。</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根据公司引用的Prismark数据，2025年全球PCB产值约848.91亿美元，同比增长15.4%；中国大陆PCB产值约484.59亿美元。</w:t>
      </w:r>
    </w:p>
    <w:p>
      <w:pPr>
        <w:pStyle w:val="ListParagraph"/>
        <w:numPr>
          <w:ilvl w:val="0"/>
          <w:numId w:val="2"/>
        </w:numPr>
        <w:spacing w:after="80" w:line="280"/>
      </w:pPr>
      <w:r>
        <w:rPr>
          <w:sz w:val="22"/>
          <w:szCs w:val="22"/>
        </w:rPr>
        <w:t xml:space="preserve">根据公司引用的Prismark数据，2024—2029年全球PCB产值预计年均增长8.2%，中国大陆PCB产值预计年均增长8.7%。上述预测为行业预测区间中的年均增速，不代表公司业绩预测。</w:t>
      </w:r>
    </w:p>
    <w:p>
      <w:pPr>
        <w:pStyle w:val="ListParagraph"/>
        <w:numPr>
          <w:ilvl w:val="0"/>
          <w:numId w:val="2"/>
        </w:numPr>
        <w:spacing w:after="80" w:line="280"/>
      </w:pPr>
      <w:r>
        <w:rPr>
          <w:sz w:val="22"/>
          <w:szCs w:val="22"/>
        </w:rPr>
        <w:t xml:space="preserve">2025年全球HDI产值约157.17亿美元，同比增长25.6%；全球多层板产值约330.91亿美元，同比增长18.2%。</w:t>
      </w:r>
    </w:p>
    <w:p>
      <w:pPr>
        <w:pStyle w:val="ListParagraph"/>
        <w:numPr>
          <w:ilvl w:val="0"/>
          <w:numId w:val="2"/>
        </w:numPr>
        <w:spacing w:after="80" w:line="280"/>
      </w:pPr>
      <w:r>
        <w:rPr>
          <w:sz w:val="22"/>
          <w:szCs w:val="22"/>
        </w:rPr>
        <w:t xml:space="preserve">AI服务器相关PCB市场预计2024—2029年年均复合增长率为18.7%；其中AI服务器HDI预计年均增长29.6%，AI相关18层及以上多层板预计年均增长33.8%。上述为行业预测数据，不代表胜宏科技单一产品或公司收入增速。</w:t>
      </w:r>
    </w:p>
    <w:p>
      <w:pPr>
        <w:pStyle w:val="ListParagraph"/>
        <w:numPr>
          <w:ilvl w:val="0"/>
          <w:numId w:val="2"/>
        </w:numPr>
        <w:spacing w:after="80" w:line="280"/>
      </w:pPr>
      <w:r>
        <w:rPr>
          <w:sz w:val="22"/>
          <w:szCs w:val="22"/>
        </w:rPr>
        <w:t xml:space="preserve">行业企业数量较多，常规PCB产品竞争较为充分；高阶HDI、高多层、高速高频和封装基板的技术、设备、良率及客户认证门槛较高。</w:t>
      </w:r>
    </w:p>
    <w:p>
      <w:pPr>
        <w:pStyle w:val="ListParagraph"/>
        <w:numPr>
          <w:ilvl w:val="0"/>
          <w:numId w:val="2"/>
        </w:numPr>
        <w:spacing w:after="80" w:line="280"/>
      </w:pPr>
      <w:r>
        <w:rPr>
          <w:sz w:val="22"/>
          <w:szCs w:val="22"/>
        </w:rPr>
        <w:t xml:space="preserve">头部客户对供应商的全球交付、品质稳定性、快速响应和资本开支能力提出更高要求；未来成熟产品可能出现产能过剩和价格竞争，但高端产品仍可能维持较高技术壁垒。</w:t>
      </w:r>
    </w:p>
    <w:p>
      <w:pPr>
        <w:pStyle w:val="ListParagraph"/>
        <w:numPr>
          <w:ilvl w:val="0"/>
          <w:numId w:val="2"/>
        </w:numPr>
        <w:spacing w:after="80" w:line="280"/>
      </w:pPr>
      <w:r>
        <w:rPr>
          <w:sz w:val="22"/>
          <w:szCs w:val="22"/>
        </w:rPr>
        <w:t xml:space="preserve">公司披露按Prismark数据，2025年胜宏科技位列全球PCB供应商第6名、中国大陆内资PCB厂商第3名；2024年年报披露口径为全球第13名、中国大陆内资第4名。由于两个年度引用的市场排名年度和统计口径可能不同，不能简单理解为一年内绝对排名提升7位。</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沪电股份（002463.SZ）</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高速、高频、高多层PCB，重点应用于数据通信、服务器和汽车电子</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在高速通信、服务器及数据中心PCB领域具有较强客户和技术积累，长期聚焦PCB主业，规模和品牌优势突出；与胜宏科技均受益于AI服务器、数据中心和高速通信需求，但其更突出高速高频通信及服务器板，胜宏科技在高阶HDI、高多层和FPC组合方面更具特色。</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深南电路（002916.SZ）</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PCB、电子装联和封装基板，形成“3-In-One”业务布局</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业务链条更完整，具备PCB、封装基板和电子装联协同能力，在通信、服务器和高端电子制造领域具有综合服务能力；胜宏科技则更加聚焦PCB制造，尤其是AI算力、高阶HDI和高多层PCB。</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生益电子（688183.SH）</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中高端PCB，主要应用于通信网络、服务器、汽车电子，同时布局HDI及软硬结合板</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产品定位中高端，技术体系和专利积累较强，在通信、服务器和汽车电子客户中具有一定竞争力；胜宏科技在AI算力卡、高阶HDI和大规模高端产能扩张方面更突出。</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崇达技术（002815.SZ）</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多层板、HDI板、柔性板、软硬结合板及部分封装基板</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产品线较为全面，客户覆盖通信、服务器、汽车电子、消费电子及工控医疗等领域，区域和客户分散度相对较高；胜宏科技则更加集中于AI算力、高多层和高阶HDI等高成长细分市场。</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生益科技（600183.SH）</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覆铜板、粘结片等电子材料，同时拥有印制线路板业务</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更偏向PCB上游电子材料及覆铜板，在高频高速材料、半固化片和高端电子材料环节具有较强竞争力；与胜宏科技并非完全同一业务层级，属于潜在上游供应商类型企业而非完全同质化竞争对手。</w:t>
            </w:r>
          </w:p>
        </w:tc>
      </w:tr>
    </w:tbl>
    <w:p>
      <w:pPr>
        <w:spacing w:before="200"/>
      </w:pPr>
    </w:p>
    <w:p>
      <w:pPr>
        <w:spacing w:after="160" w:line="300"/>
      </w:pPr>
      <w:r>
        <w:rPr>
          <w:sz w:val="22"/>
          <w:szCs w:val="22"/>
        </w:rPr>
        <w:t xml:space="preserve">胜宏科技与沪电股份、生益电子、崇达技术均存在PCB制造业务可比性，但胜宏科技的业务重心更偏向AI算力、高阶HDI、高多层PCB及FPC组合；沪电股份更突出高速高频通信及服务器板，生益电子偏重通信网络、服务器和汽车电子的中高端PCB，崇达技术强调全产品线和多元客户布局。深南电路凭借PCB、电子装联和封装基板形成更完整的综合电子制造布局；生益科技则主要处于覆铜板等PCB上游材料环节。行业比较需注意，公司引用的Prismark排名缺少完整第三方原始榜单，排名年度和统计口径存在差异；此外，胜宏科技部分海外产能仍处于建设和投产爬坡阶段，已披露技术能力也不等同于全部产能释放或已形成稳定大规模收入。</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AI服务器、数据中心及算力相关需求是公司近期收入和利润快速增长的重要驱动。若AI客户订单持续性不足、项目量产节奏放缓，或高端产品需求不及预期，公司2025年以来的高增长可能出现回落。</w:t>
      </w:r>
    </w:p>
    <w:p>
      <w:pPr>
        <w:pStyle w:val="ListParagraph"/>
        <w:numPr>
          <w:ilvl w:val="0"/>
          <w:numId w:val="2"/>
        </w:numPr>
        <w:spacing w:after="80" w:line="280"/>
      </w:pPr>
      <w:r>
        <w:rPr>
          <w:sz w:val="22"/>
          <w:szCs w:val="22"/>
        </w:rPr>
        <w:t xml:space="preserve">公司2026年上半年新拓展客户超过50家、部分大客户新一代产品进入大批量生产的表述主要来自投资者互动平台，尚未形成单独业绩或订单公告，不能直接等同于未来收入和利润承诺。</w:t>
      </w:r>
    </w:p>
    <w:p>
      <w:pPr>
        <w:pStyle w:val="ListParagraph"/>
        <w:numPr>
          <w:ilvl w:val="0"/>
          <w:numId w:val="2"/>
        </w:numPr>
        <w:spacing w:after="80" w:line="280"/>
      </w:pPr>
      <w:r>
        <w:rPr>
          <w:sz w:val="22"/>
          <w:szCs w:val="22"/>
        </w:rPr>
        <w:t xml:space="preserve">客户集中度明显上升，2025年前五大客户销售占比由2024年的20.03%升至41.98%，第一大客户占比14.97%。若头部AI服务器、GPU、数据中心或通信客户调整采购计划、压低价格或延长账期，公司收入、利润率和现金周转可能受到较大影响。</w:t>
      </w:r>
    </w:p>
    <w:p>
      <w:pPr>
        <w:pStyle w:val="ListParagraph"/>
        <w:numPr>
          <w:ilvl w:val="0"/>
          <w:numId w:val="2"/>
        </w:numPr>
        <w:spacing w:after="80" w:line="280"/>
      </w:pPr>
      <w:r>
        <w:rPr>
          <w:sz w:val="22"/>
          <w:szCs w:val="22"/>
        </w:rPr>
        <w:t xml:space="preserve">公司2025年全部收入均采用赊销模式，存在下游客户占用营运资金的情况；同时，应收账款余额、周转天数及信用质量的完整序列未在现有数据中披露，若客户回款放缓，可能增加现金流和坏账风险。</w:t>
      </w:r>
    </w:p>
    <w:p>
      <w:pPr>
        <w:pStyle w:val="ListParagraph"/>
        <w:numPr>
          <w:ilvl w:val="0"/>
          <w:numId w:val="2"/>
        </w:numPr>
        <w:spacing w:after="80" w:line="280"/>
      </w:pPr>
      <w:r>
        <w:rPr>
          <w:sz w:val="22"/>
          <w:szCs w:val="22"/>
        </w:rPr>
        <w:t xml:space="preserve">原材料成本占2025年PCB制造成本65.91%，较2024年上升3.24个百分点。覆铜板、半固化片、铜球、铜箔及相关化学材料价格受铜、黄金、石油和高端基材供需影响，公司对上游缺乏完全定价控制，成本上涨可能压缩毛利率。</w:t>
      </w:r>
    </w:p>
    <w:p>
      <w:pPr>
        <w:pStyle w:val="ListParagraph"/>
        <w:numPr>
          <w:ilvl w:val="0"/>
          <w:numId w:val="2"/>
        </w:numPr>
        <w:spacing w:after="80" w:line="280"/>
      </w:pPr>
      <w:r>
        <w:rPr>
          <w:sz w:val="22"/>
          <w:szCs w:val="22"/>
        </w:rPr>
        <w:t xml:space="preserve">2026年上半年营业成本同比增长34.83%，高于营业收入增速；提前招工、新产能折旧及产能爬坡可能继续压制阶段性盈利能力。若新增产能利用率提升不及预期，规模扩张可能带来折旧和运营效率压力。</w:t>
      </w:r>
    </w:p>
    <w:p>
      <w:pPr>
        <w:pStyle w:val="ListParagraph"/>
        <w:numPr>
          <w:ilvl w:val="0"/>
          <w:numId w:val="2"/>
        </w:numPr>
        <w:spacing w:after="80" w:line="280"/>
      </w:pPr>
      <w:r>
        <w:rPr>
          <w:sz w:val="22"/>
          <w:szCs w:val="22"/>
        </w:rPr>
        <w:t xml:space="preserve">2026年上半年扣非归母净利润同比增长12.50%，二季度扣非归母净利润同比下降约5.28%、环比下降约7.69%，而归母净利润仍保持较快增长，且当期非经常性损益约4.39亿元。若非经常性收益减少，归母利润增速可能低于市场预期。</w:t>
      </w:r>
    </w:p>
    <w:p>
      <w:pPr>
        <w:pStyle w:val="ListParagraph"/>
        <w:numPr>
          <w:ilvl w:val="0"/>
          <w:numId w:val="2"/>
        </w:numPr>
        <w:spacing w:after="80" w:line="280"/>
      </w:pPr>
      <w:r>
        <w:rPr>
          <w:sz w:val="22"/>
          <w:szCs w:val="22"/>
        </w:rPr>
        <w:t xml:space="preserve">公司直接出口收入占2025年营业收入76.83%，2026年上半年财务费用同比增长694.35%，主要与汇兑损失及利息支出增加有关。汇率波动、海外业务交付及融资成本变化可能继续影响利润表现。</w:t>
      </w:r>
    </w:p>
    <w:p>
      <w:pPr>
        <w:pStyle w:val="ListParagraph"/>
        <w:numPr>
          <w:ilvl w:val="0"/>
          <w:numId w:val="2"/>
        </w:numPr>
        <w:spacing w:after="80" w:line="280"/>
      </w:pPr>
      <w:r>
        <w:rPr>
          <w:sz w:val="22"/>
          <w:szCs w:val="22"/>
        </w:rPr>
        <w:t xml:space="preserve">2025年前五大供应商采购占比31.52%，单一最大供应商占比9.60%；同时公司仍无法完全确认主要供应商对应的具体材料环节。若高端覆铜板、铜材或其他关键材料供应受限，可能影响生产成本、交付稳定性和产能释放。</w:t>
      </w:r>
    </w:p>
    <w:p>
      <w:pPr>
        <w:pStyle w:val="ListParagraph"/>
        <w:numPr>
          <w:ilvl w:val="0"/>
          <w:numId w:val="2"/>
        </w:numPr>
        <w:spacing w:after="80" w:line="280"/>
      </w:pPr>
      <w:r>
        <w:rPr>
          <w:sz w:val="22"/>
          <w:szCs w:val="22"/>
        </w:rPr>
        <w:t xml:space="preserve">截至2026年9月14日，公司股价较8月13日阶段高点回落约21.8%，现价低于MA5、MA10、MA20、MA50、MA100和MA200，近5个交易日资金仍为净流出。若股价跌破220—222元支撑，技术面可能进一步走弱；高估值背景下，市场预期变化也可能放大股价波动。</w:t>
      </w:r>
    </w:p>
    <w:p>
      <w:pPr>
        <w:pStyle w:val="ListParagraph"/>
        <w:numPr>
          <w:ilvl w:val="0"/>
          <w:numId w:val="2"/>
        </w:numPr>
        <w:spacing w:after="80" w:line="280"/>
      </w:pPr>
      <w:r>
        <w:rPr>
          <w:sz w:val="22"/>
          <w:szCs w:val="22"/>
        </w:rPr>
        <w:t xml:space="preserve">公司2026年度员工持股计划拟筹集资金不超过7亿元，并可通过融资融券等方式融资；计划尚未完成股东会审议和实际实施，最终购买数量、价格及实施结果存在不确定性，相关安排也可能对短期交易和股东结构产生影响。</w:t>
      </w:r>
    </w:p>
    <w:p>
      <w:pPr>
        <w:pStyle w:val="ListParagraph"/>
        <w:numPr>
          <w:ilvl w:val="0"/>
          <w:numId w:val="2"/>
        </w:numPr>
        <w:spacing w:after="80" w:line="280"/>
      </w:pPr>
      <w:r>
        <w:rPr>
          <w:sz w:val="22"/>
          <w:szCs w:val="22"/>
        </w:rPr>
        <w:t xml:space="preserve">公司及控股子公司实际提供担保余额累计22.44亿元，其中子公司相互担保11.12亿元，占2025年末经审计净资产的13.51%。虽然现有数据未显示逾期担保或对合并报表外单位担保，但子公司互保规模及新增担保仍需持续关注潜在信用和流动性影响。</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公司中长期增长逻辑主要来自AI服务器、数据中心、高速通信及算力相关PCB需求扩张，以及高阶HDI、高多层板和柔性电路板产品结构升级。客户认证壁垒、全球化交付、规模扩产和智慧工厂降本有助于巩固竞争力；2026年上半年新客户拓展和部分高端产品量产，也为后续收入增长提供了业务基础。市场机构对2026—2028年收入和归母净利润仍维持较高增长预期，但预测区间差异较大，相关数据属于券商预测，不代表公司业绩指引。</w:t>
      </w:r>
    </w:p>
    <w:p>
      <w:pPr>
        <w:spacing w:after="160" w:line="300"/>
      </w:pPr>
      <w:r>
        <w:rPr>
          <w:sz w:val="22"/>
          <w:szCs w:val="22"/>
        </w:rPr>
        <w:t xml:space="preserve">后续业绩表现的关键在于AI客户订单能否持续转化为稳定收入和扣非利润、新产能爬坡能否改善利用率及单位成本，以及高阶产品占比提升能否抵消原材料、人工、折旧和融资成本压力。尤其需要关注二季度扣非利润走弱是否为产能建设阶段性影响，还是反映盈利能力边际变化。</w:t>
      </w:r>
    </w:p>
    <w:p>
      <w:pPr>
        <w:spacing w:after="160" w:line="300"/>
      </w:pPr>
      <w:r>
        <w:rPr>
          <w:sz w:val="22"/>
          <w:szCs w:val="22"/>
        </w:rPr>
        <w:t xml:space="preserve">公司当前估值和股价表现已较大程度反映市场对AI PCB高增长的预期，技术面则显示中短期趋势尚未修复。未来基本面若继续改善，需由订单量产、毛利率修复、扣非利润增长和现金流表现共同验证；若客户集中度上升、产能释放不及预期或行业价格竞争加剧，估值消化和股价波动压力可能同步上升。</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凤形股份、索菱股份、信息发展、厚普股份、新元科技、胜宏科技在深交所上市 — https://www.szse.cn/aboutus/trends/news/t20150611_518618.html?utm_source=openai</w:t>
      </w:r>
    </w:p>
    <w:p>
      <w:pPr>
        <w:spacing w:after="200"/>
      </w:pPr>
      <w:r>
        <w:rPr>
          <w:i/>
          <w:iCs/>
          <w:color w:val="595959"/>
          <w:sz w:val="18"/>
          <w:szCs w:val="18"/>
        </w:rPr>
        <w:t xml:space="preserve">https://static.cninfo.com.cn/finalpage/2026-03-13/1225007455.PDF — https://static.cninfo.com.cn/finalpage/2026-03-13/1225007455.PDF</w:t>
      </w:r>
    </w:p>
    <w:p>
      <w:pPr>
        <w:spacing w:after="200"/>
      </w:pPr>
      <w:r>
        <w:rPr>
          <w:i/>
          <w:iCs/>
          <w:color w:val="595959"/>
          <w:sz w:val="18"/>
          <w:szCs w:val="18"/>
        </w:rPr>
        <w:t xml:space="preserve">胜宏科技(300476)_公司公告_胜宏科技：2025年年度报告新浪财经_新浪网 — https://money.finance.sina.com.cn/corp/view/vCB_AllBulletinDetail.php?id=11993270&amp;stockid=300476</w:t>
      </w:r>
    </w:p>
    <w:p>
      <w:pPr>
        <w:spacing w:after="200"/>
      </w:pPr>
      <w:r>
        <w:rPr>
          <w:i/>
          <w:iCs/>
          <w:color w:val="595959"/>
          <w:sz w:val="18"/>
          <w:szCs w:val="18"/>
        </w:rPr>
        <w:t xml:space="preserve">https://static.cninfo.com.cn/finalpage/2025-03-29/1222949182.PDF — https://static.cninfo.com.cn/finalpage/2025-03-29/1222949182.PDF</w:t>
      </w:r>
    </w:p>
    <w:p>
      <w:pPr>
        <w:spacing w:after="200"/>
      </w:pPr>
      <w:r>
        <w:rPr>
          <w:i/>
          <w:iCs/>
          <w:color w:val="595959"/>
          <w:sz w:val="18"/>
          <w:szCs w:val="18"/>
        </w:rPr>
        <w:t xml:space="preserve">沪电股份2025年半年度报告 — https://static.cninfo.com.cn/finalpage/2025-08-22/1224535064.PDF?utm_source=openai</w:t>
      </w:r>
    </w:p>
    <w:p>
      <w:pPr>
        <w:spacing w:after="200"/>
      </w:pPr>
      <w:r>
        <w:rPr>
          <w:i/>
          <w:iCs/>
          <w:color w:val="595959"/>
          <w:sz w:val="18"/>
          <w:szCs w:val="18"/>
        </w:rPr>
        <w:t xml:space="preserve">深南电路(002916)_公司公告_深南电路：2025年年度报告新浪财经_新浪网 — https://money.finance.sina.com.cn/corp/view/vCB_AllBulletinDetail.php?id=11992852&amp;stockid=002916&amp;utm_source=openai</w:t>
      </w:r>
    </w:p>
    <w:p>
      <w:pPr>
        <w:spacing w:after="200"/>
      </w:pPr>
      <w:r>
        <w:rPr>
          <w:i/>
          <w:iCs/>
          <w:color w:val="595959"/>
          <w:sz w:val="18"/>
          <w:szCs w:val="18"/>
        </w:rPr>
        <w:t xml:space="preserve">生益电子(688183)_公司公告_生益电子：2025年年度报告新浪财经_新浪网 — https://vip.stock.finance.sina.com.cn/corp/view/vCB_AllBulletinDetail.php?id=12166656&amp;stockid=688183&amp;utm_source=openai</w:t>
      </w:r>
    </w:p>
    <w:p>
      <w:pPr>
        <w:spacing w:after="200"/>
      </w:pPr>
      <w:r>
        <w:rPr>
          <w:i/>
          <w:iCs/>
          <w:color w:val="595959"/>
          <w:sz w:val="18"/>
          <w:szCs w:val="18"/>
        </w:rPr>
        <w:t xml:space="preserve">崇达技术股份有限公司　　　　　　　　　　　　　　　　　　　　　　　　　2025 年年度报告全文 — https://disc.static.szse.cn/disc/disk03/finalpage/2026-04-29/8d1faee1-e1bd-43d2-a05b-bd40c6c262b3.PDF?utm_source=openai</w:t>
      </w:r>
    </w:p>
    <w:p>
      <w:pPr>
        <w:spacing w:after="200"/>
      </w:pPr>
      <w:r>
        <w:rPr>
          <w:i/>
          <w:iCs/>
          <w:color w:val="595959"/>
          <w:sz w:val="18"/>
          <w:szCs w:val="18"/>
        </w:rPr>
        <w:t xml:space="preserve">股份有限公司2024年年度报告 — https://big5.sse.com.cn/site/cht/www.sse.com.cn/disclosure/listedinfo/announcement/c/new/2025-03-29/600183_20250329_OLP9.pdf?utm_source=openai</w:t>
      </w:r>
    </w:p>
    <w:p>
      <w:pPr>
        <w:spacing w:after="200"/>
      </w:pPr>
      <w:r>
        <w:rPr>
          <w:i/>
          <w:iCs/>
          <w:color w:val="595959"/>
          <w:sz w:val="18"/>
          <w:szCs w:val="18"/>
        </w:rPr>
        <w:t xml:space="preserve">股票简称：胜宏科技                                  股票代码：300476 — https://reportdocs.static.szse.cn/UpFiles/rasinfodisc1/202501/RAS_202501_152105CEF48878858C4EF2B032E5C553688F54.pdf?utm_source=openai</w:t>
      </w:r>
    </w:p>
    <w:p>
      <w:pPr>
        <w:spacing w:after="200"/>
      </w:pPr>
      <w:r>
        <w:rPr>
          <w:i/>
          <w:iCs/>
          <w:color w:val="595959"/>
          <w:sz w:val="18"/>
          <w:szCs w:val="18"/>
        </w:rPr>
        <w:t xml:space="preserve">https://disc.static.szse.cn/disc/disk03/finalpage/2026-08-28/296a3692-b153-48c1-9201-2bbb41886183.PDF — https://disc.static.szse.cn/disc/disk03/finalpage/2026-08-28/296a3692-b153-48c1-9201-2bbb41886183.PDF</w:t>
      </w:r>
    </w:p>
    <w:p>
      <w:pPr>
        <w:spacing w:after="200"/>
      </w:pPr>
      <w:r>
        <w:rPr>
          <w:i/>
          <w:iCs/>
          <w:color w:val="595959"/>
          <w:sz w:val="18"/>
          <w:szCs w:val="18"/>
        </w:rPr>
        <w:t xml:space="preserve">胜宏科技：部分大客户的新一代产品已进入大批量生产阶段，核心算力等客户项目符合预期_新浪财经_新浪网 — https://finance.sina.com.cn/jjxw/2026-09-08/doc-inircrnn9206235.shtml?utm_source=openai</w:t>
      </w:r>
    </w:p>
    <w:p>
      <w:pPr>
        <w:spacing w:after="200"/>
      </w:pPr>
      <w:r>
        <w:rPr>
          <w:i/>
          <w:iCs/>
          <w:color w:val="595959"/>
          <w:sz w:val="18"/>
          <w:szCs w:val="18"/>
        </w:rPr>
        <w:t xml:space="preserve">https://disc.static.szse.cn/disc/disk03/finalpage/2026-08-28/868c87bc-0cbd-4d55-9fdb-a6cc254e52d4.PDF — https://disc.static.szse.cn/disc/disk03/finalpage/2026-08-28/868c87bc-0cbd-4d55-9fdb-a6cc254e52d4.PDF</w:t>
      </w:r>
    </w:p>
    <w:p>
      <w:pPr>
        <w:spacing w:after="200"/>
      </w:pPr>
      <w:r>
        <w:rPr>
          <w:i/>
          <w:iCs/>
          <w:color w:val="595959"/>
          <w:sz w:val="18"/>
          <w:szCs w:val="18"/>
        </w:rPr>
        <w:t xml:space="preserve">https://disc.static.szse.cn/disc/disk03/finalpage/2026-07-20/e8dc554f-d1d1-49e0-b3f8-cb98c8cac484.PDF — https://disc.static.szse.cn/disc/disk03/finalpage/2026-07-20/e8dc554f-d1d1-49e0-b3f8-cb98c8cac484.PDF</w:t>
      </w:r>
    </w:p>
    <w:p>
      <w:pPr>
        <w:spacing w:after="200"/>
      </w:pPr>
      <w:r>
        <w:rPr>
          <w:i/>
          <w:iCs/>
          <w:color w:val="595959"/>
          <w:sz w:val="18"/>
          <w:szCs w:val="18"/>
        </w:rPr>
        <w:t xml:space="preserve">https://disc.static.szse.cn/disc/disk03/finalpage/2026-09-03/4878a615-0d58-4be1-80fd-4fe1a75ba6a7.PDF — https://disc.static.szse.cn/disc/disk03/finalpage/2026-09-03/4878a615-0d58-4be1-80fd-4fe1a75ba6a7.PDF</w:t>
      </w:r>
    </w:p>
    <w:p>
      <w:pPr>
        <w:spacing w:after="200"/>
      </w:pPr>
      <w:r>
        <w:rPr>
          <w:i/>
          <w:iCs/>
          <w:color w:val="595959"/>
          <w:sz w:val="18"/>
          <w:szCs w:val="18"/>
        </w:rPr>
        <w:t xml:space="preserve">https://disc.static.szse.cn/disc/disk03/finalpage/2026-09-01/b71181ae-b767-4149-8739-738237f8702f.PDF — https://disc.static.szse.cn/disc/disk03/finalpage/2026-09-01/b71181ae-b767-4149-8739-738237f8702f.PDF</w:t>
      </w:r>
    </w:p>
    <w:p>
      <w:pPr>
        <w:spacing w:after="200"/>
      </w:pPr>
      <w:r>
        <w:rPr>
          <w:i/>
          <w:iCs/>
          <w:color w:val="595959"/>
          <w:sz w:val="18"/>
          <w:szCs w:val="18"/>
        </w:rPr>
        <w:t xml:space="preserve">胜宏科技新增质押89万股 质押占总股本比例为0.09%_新浪财经_新浪网 — https://finance.sina.com.cn/stock/aiassist/zy/2026-08-12/doc-ininamic6733909.shtml</w:t>
      </w:r>
    </w:p>
    <w:p>
      <w:pPr>
        <w:spacing w:after="200"/>
      </w:pPr>
      <w:r>
        <w:rPr>
          <w:i/>
          <w:iCs/>
          <w:color w:val="595959"/>
          <w:sz w:val="18"/>
          <w:szCs w:val="18"/>
        </w:rPr>
        <w:t xml:space="preserve">胜宏科技(300476)公司公告_新浪财经_新浪网 — https://money.finance.sina.com.cn/corp/go.php/vCB_AllBulletin/stockid/300476.phtml?ftype=lsgg&amp;utm_source=openai</w:t>
      </w:r>
    </w:p>
    <w:p>
      <w:pPr>
        <w:spacing w:after="200"/>
      </w:pPr>
      <w:r>
        <w:rPr>
          <w:i/>
          <w:iCs/>
          <w:color w:val="595959"/>
          <w:sz w:val="18"/>
          <w:szCs w:val="18"/>
        </w:rPr>
        <w:t xml:space="preserve">证券代码：300476  证券简称：胜宏科技  公告编号：2026-006 — https://disc.static.szse.cn/disc/disk03/finalpage/2026-01-16/ab064cd6-ac49-45d5-91ee-fbcacf7fdef2.PDF?utm_source=openai</w:t>
      </w:r>
    </w:p>
    <w:p>
      <w:pPr>
        <w:spacing w:after="200"/>
      </w:pPr>
      <w:r>
        <w:rPr>
          <w:i/>
          <w:iCs/>
          <w:color w:val="595959"/>
          <w:sz w:val="18"/>
          <w:szCs w:val="18"/>
        </w:rPr>
        <w:t xml:space="preserve">胜宏科技: 国信证券股份有限公司关于胜宏科技（惠州）股份有限公司2026年半年度持续督导跟踪报告_股票频道_证券之星 — https://stock.stockstar.com/notice/SN2026090300006786.shtml?utm_source=openai</w:t>
      </w:r>
    </w:p>
    <w:p>
      <w:pPr>
        <w:spacing w:after="200"/>
      </w:pPr>
      <w:r>
        <w:rPr>
          <w:i/>
          <w:iCs/>
          <w:color w:val="595959"/>
          <w:sz w:val="18"/>
          <w:szCs w:val="18"/>
        </w:rPr>
        <w:t xml:space="preserve">国新办举行“开局起步‘十五五’”系列主题新闻发布会 介绍金融领域贯彻落实“十五五”规划、推动金融强国建设有关情况_中国证券监督管理委员会 — https://www.csrc.gov.cn/csrc/c100028/c7657861/content.shtml?utm_source=openai</w:t>
      </w:r>
    </w:p>
    <w:p>
      <w:pPr>
        <w:spacing w:after="200"/>
      </w:pPr>
      <w:r>
        <w:rPr>
          <w:i/>
          <w:iCs/>
          <w:color w:val="595959"/>
          <w:sz w:val="18"/>
          <w:szCs w:val="18"/>
        </w:rPr>
        <w:t xml:space="preserve">胜宏科技(300476)股票最新价格行情,实时走势图,股价分析预测_英为财情Investing.com — https://cn.investing.com/equities/victory-giant-technology-huizhou-co</w:t>
      </w:r>
    </w:p>
    <w:p>
      <w:pPr>
        <w:spacing w:after="200"/>
      </w:pPr>
      <w:r>
        <w:rPr>
          <w:i/>
          <w:iCs/>
          <w:color w:val="595959"/>
          <w:sz w:val="18"/>
          <w:szCs w:val="18"/>
        </w:rPr>
        <w:t xml:space="preserve">胜宏科技(300476)股票历史数据:历史行情,价格,走势图表_英为财情Investing.com — https://cn.investing.com/equities/victory-giant-technology-huizhou-co-historical-data</w:t>
      </w:r>
    </w:p>
    <w:p>
      <w:pPr>
        <w:spacing w:after="200"/>
      </w:pPr>
      <w:r>
        <w:rPr>
          <w:i/>
          <w:iCs/>
          <w:color w:val="595959"/>
          <w:sz w:val="18"/>
          <w:szCs w:val="18"/>
        </w:rPr>
        <w:t xml:space="preserve">胜宏科技(300476)股票行情走势技术分析_未来预测_买卖操作建议_英为财情Investing.com — https://cn.investing.com/equities/victory-giant-technology-huizhou-co-technical</w:t>
      </w:r>
    </w:p>
    <w:p>
      <w:pPr>
        <w:spacing w:after="200"/>
      </w:pPr>
      <w:r>
        <w:rPr>
          <w:i/>
          <w:iCs/>
          <w:color w:val="595959"/>
          <w:sz w:val="18"/>
          <w:szCs w:val="18"/>
        </w:rPr>
        <w:t xml:space="preserve">胜宏科技 (300476.SZ) K-Line Chart &amp; Technical Analysis | KlineVision | Kline Vision — https://klinevision.ai/stocks/cn/300476.SZ/?utm_source=openai</w:t>
      </w:r>
    </w:p>
    <w:p>
      <w:pPr>
        <w:spacing w:after="200"/>
      </w:pPr>
      <w:r>
        <w:rPr>
          <w:i/>
          <w:iCs/>
          <w:color w:val="595959"/>
          <w:sz w:val="18"/>
          <w:szCs w:val="18"/>
        </w:rPr>
        <w:t xml:space="preserve">胜宏科技(300476)股票信息 - 数据平台 — https://data.agoer.com/cms/Index/detail?id=300476&amp;utm_source=openai</w:t>
      </w:r>
    </w:p>
    <w:p>
      <w:pPr>
        <w:spacing w:after="200"/>
      </w:pPr>
      <w:r>
        <w:rPr>
          <w:i/>
          <w:iCs/>
          <w:color w:val="595959"/>
          <w:sz w:val="18"/>
          <w:szCs w:val="18"/>
        </w:rPr>
        <w:t xml:space="preserve">胜宏科技大宗交易成交4.24万股 成交额989.87万元 — https://www.stcn.com/article/detail/4175177.html?utm_source=openai</w:t>
      </w:r>
    </w:p>
    <w:p>
      <w:pPr>
        <w:spacing w:after="200"/>
      </w:pPr>
      <w:r>
        <w:rPr>
          <w:i/>
          <w:iCs/>
          <w:color w:val="595959"/>
          <w:sz w:val="18"/>
          <w:szCs w:val="18"/>
        </w:rPr>
        <w:t xml:space="preserve">胜宏科技(300476)个股资金流向查询_个股行情_同花顺财经 — https://stockpage.10jqka.com.cn/300476/index/?utm_source=openai</w:t>
      </w:r>
    </w:p>
    <w:p>
      <w:pPr>
        <w:spacing w:after="200"/>
      </w:pPr>
      <w:r>
        <w:rPr>
          <w:i/>
          <w:iCs/>
          <w:color w:val="595959"/>
          <w:sz w:val="18"/>
          <w:szCs w:val="18"/>
        </w:rPr>
        <w:t xml:space="preserve">胜宏科技(300476) 最新动态_F10_同花顺金融服务网 — https://basic.10jqka.com.cn/300476/?utm_source=openai</w:t>
      </w:r>
    </w:p>
    <w:p>
      <w:pPr>
        <w:spacing w:after="200"/>
      </w:pPr>
      <w:r>
        <w:rPr>
          <w:i/>
          <w:iCs/>
          <w:color w:val="595959"/>
          <w:sz w:val="18"/>
          <w:szCs w:val="18"/>
        </w:rPr>
        <w:t xml:space="preserve">胜宏科技(300476)_股本股东_证券之星 — https://stock.quote.stockstar.com/share_300476.shtml</w:t>
      </w:r>
    </w:p>
    <w:p>
      <w:pPr>
        <w:spacing w:after="200"/>
      </w:pPr>
      <w:r>
        <w:rPr>
          <w:i/>
          <w:iCs/>
          <w:color w:val="595959"/>
          <w:sz w:val="18"/>
          <w:szCs w:val="18"/>
        </w:rPr>
        <w:t xml:space="preserve">胜宏科技(300476)_公司公告_胜宏科技：2026年半年度报告新浪财经_新浪网 — https://vip.stock.finance.sina.com.cn/corp/view/vCB_AllBulletinDetail.php?id=12563440&amp;stockid=300476</w:t>
      </w:r>
    </w:p>
    <w:p>
      <w:pPr>
        <w:spacing w:after="200"/>
      </w:pPr>
      <w:r>
        <w:rPr>
          <w:i/>
          <w:iCs/>
          <w:color w:val="595959"/>
          <w:sz w:val="18"/>
          <w:szCs w:val="18"/>
        </w:rPr>
        <w:t xml:space="preserve">本报告由AI基于公开渠道信息自动检索、整理并生成，信息截至 截至2026年9月14日收盘；部分成交量、换手率及股东数据存在不同日期口径，已在相关字段中注明，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2026-09-14T14:38:45.632Z</dcterms:created>
  <dcterms:modified xsi:type="dcterms:W3CDTF">2026-09-14T14:38:45.632Z</dcterms:modified>
</cp:coreProperties>
</file>

<file path=docProps/custom.xml><?xml version="1.0" encoding="utf-8"?>
<Properties xmlns="http://schemas.openxmlformats.org/officeDocument/2006/custom-properties" xmlns:vt="http://schemas.openxmlformats.org/officeDocument/2006/docPropsVTypes"/>
</file>