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中科创达软件股份有限公司 (300496)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行业：操作系统与端侧智能平台</w:t>
      </w:r>
    </w:p>
    <w:p>
      <w:pPr>
        <w:jc w:val="center"/>
      </w:pPr>
      <w:r>
        <w:rPr>
          <w:color w:val="595959"/>
          <w:sz w:val="22"/>
          <w:szCs w:val="22"/>
        </w:rPr>
        <w:t xml:space="preserve">报告日期：2026年9月14日</w:t>
      </w:r>
    </w:p>
    <w:p>
      <w:pPr>
        <w:jc w:val="center"/>
      </w:pPr>
      <w:r>
        <w:rPr>
          <w:color w:val="595959"/>
          <w:sz w:val="20"/>
          <w:szCs w:val="20"/>
        </w:rPr>
        <w:t xml:space="preserve">技术分析基准为2026年9月11日收盘数据；2026年9月14日数据仅为盘中或延迟行情，未采用其作为收盘基准。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科创达2026年上半年实现营业收入43.05亿元，同比增长30.46%；归母净利润2.46亿元，同比增长54.97%，扣非归母净利润同比增长71.32%，二季度归母净利润同比增速进一步升至117.31%，显示收入增长与费用率下降共同推动利润释放。但同期经营活动现金流量净额为-6357.27万元，且上半年整体毛利率为29.08%，同比下降4.08个百分点，业绩增长与现金流、盈利质量之间仍存在背离。</w:t>
      </w:r>
    </w:p>
    <w:p>
      <w:pPr>
        <w:spacing w:after="160" w:line="300"/>
      </w:pPr>
      <w:r>
        <w:rPr>
          <w:sz w:val="22"/>
          <w:szCs w:val="22"/>
        </w:rPr>
        <w:t xml:space="preserve">公司增长主要由AIOS战略、多终端端侧智能应用以及智能物联网业务扩张驱动。2025年智能物联网及智能硬件收入36.05亿元，同比增长133.26%，占总收入46.35%，但毛利率仅18.91%；2026年上半年该业务收入18.66亿元，同比增长46.93%，毛利率进一步为14.36%，明显低于智能汽车业务43.26%和智能软件业务36.31%。智能汽车和智能软件的软件平台属性较强，软件许可收入毛利率达到81.92%，未来利润结构改善取决于软件授权、平台化产品及整车操作系统的放量。</w:t>
      </w:r>
    </w:p>
    <w:p>
      <w:pPr>
        <w:spacing w:after="160" w:line="300"/>
      </w:pPr>
      <w:r>
        <w:rPr>
          <w:sz w:val="22"/>
          <w:szCs w:val="22"/>
        </w:rPr>
        <w:t xml:space="preserve">公司2025年营业收入77.78亿元，同比增长44.45%，归母净利润4.50亿元，同比增长10.47%，综合毛利率由2024年的34.29%降至31.67%，反映智能物联网硬件交付和材料采购增长对利润率的拖累。2025年硬件产品和材料采购成本22.42亿元，同比增长96.12%；应收账款27.40亿元，约相当于当年营业收入的35.23%，客户前五大销售占比升至27.27%，第一大客户占比10.46%，项目交付、结算和客户集中度仍是经营质量的重要观察点。</w:t>
      </w:r>
    </w:p>
    <w:p>
      <w:pPr>
        <w:spacing w:after="160" w:line="300"/>
      </w:pPr>
      <w:r>
        <w:rPr>
          <w:sz w:val="22"/>
          <w:szCs w:val="22"/>
        </w:rPr>
        <w:t xml:space="preserve">截至2026年9月11日，公司股价54.45元，动态市盈率约47.7至48倍，较9月初高点回落约8.5%，技术指标整体偏弱：股价低于MA5、MA10和MA20，MACD位于零轴下方，近10个交易日主力资金合计净流出约2.85亿元。不过RSI6为25.5，股价接近53.4至54.6元的短期支撑和布林下轨区域，存在技术性反抽可能，但当前尚未形成明确止跌或趋势反转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300496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中科创达</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2015年12月10日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注册地及总部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北京市海淀区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赵鸿飞</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操作系统+端侧智能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主营业务属性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智能操作系统产品、端侧智能产品及相关技术服务，不属于传统硬件制造企业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77.78亿元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4.50亿元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17.68亿元，占营业收入22.73%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传统产能及资源储备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公司不存在矿产资源储量、传统生产线产能或统一口径的传统产能利用率数据，核心产能体现为研发、软件平台和工程交付能力</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智能汽车：提供智能座舱操作系统及解决方案、智能驾驶平台、舱驾融合系统、整车操作系统、汽车HMI及3D交互引擎Kanzi、SmartDrive视觉产品、汽车高性能计算平台、AIBOX以及车路云一体化平台和RoadOS。2025年收入26.56亿元，占总收入34.14%，同比增长9.91%，毛利率46.18%。</w:t>
      </w:r>
    </w:p>
    <w:p>
      <w:pPr>
        <w:pStyle w:val="ListParagraph"/>
        <w:numPr>
          <w:ilvl w:val="0"/>
          <w:numId w:val="2"/>
        </w:numPr>
        <w:spacing w:after="80" w:line="280"/>
      </w:pPr>
      <w:r>
        <w:rPr>
          <w:sz w:val="22"/>
          <w:szCs w:val="22"/>
        </w:rPr>
        <w:t xml:space="preserve">智能软件：包括Android等移动操作系统开发和优化、手机及PC系统软件服务、AI手机和AI PC操作系统及端侧大模型适配、软件授权、系统集成、技术服务和软件开发。2025年收入15.17亿元，占总收入19.51%，同比增长6.64%，毛利率36.60%。</w:t>
      </w:r>
    </w:p>
    <w:p>
      <w:pPr>
        <w:pStyle w:val="ListParagraph"/>
        <w:numPr>
          <w:ilvl w:val="0"/>
          <w:numId w:val="2"/>
        </w:numPr>
        <w:spacing w:after="80" w:line="280"/>
      </w:pPr>
      <w:r>
        <w:rPr>
          <w:sz w:val="22"/>
          <w:szCs w:val="22"/>
        </w:rPr>
        <w:t xml:space="preserve">智能物联网及智能硬件：包括行业手持终端、PDA、工业平板、支付POS、智能视觉与边缘计算设备、AI视频会议设备、AI眼镜、智能穿戴、音箱、手表、AIPC参考设计、工业边缘计算模组和开发套件，以及智能物联网操作系统和端边云解决方案。2025年收入36.05亿元，占总收入46.35%，同比增长133.26%，毛利率18.91%。</w:t>
      </w:r>
    </w:p>
    <w:p>
      <w:pPr>
        <w:pStyle w:val="ListParagraph"/>
        <w:numPr>
          <w:ilvl w:val="0"/>
          <w:numId w:val="2"/>
        </w:numPr>
        <w:spacing w:after="80" w:line="280"/>
      </w:pPr>
      <w:r>
        <w:rPr>
          <w:sz w:val="22"/>
          <w:szCs w:val="22"/>
        </w:rPr>
        <w:t xml:space="preserve">智能机器人和行业AI：布局移动机器人、工业AMR、无人叉车、复合机器人和具身智能，面向汽车及零部件、锂电、3C、食品饮料、仓储物流等行业提供解决方案。该业务处于扩张和产业化阶段，2025年年报未单独披露机器人业务收入和产能数据。</w:t>
      </w:r>
    </w:p>
    <w:p>
      <w:pPr>
        <w:pStyle w:val="ListParagraph"/>
        <w:numPr>
          <w:ilvl w:val="0"/>
          <w:numId w:val="2"/>
        </w:numPr>
        <w:spacing w:after="80" w:line="280"/>
      </w:pPr>
      <w:r>
        <w:rPr>
          <w:sz w:val="22"/>
          <w:szCs w:val="22"/>
        </w:rPr>
        <w:t xml:space="preserve">平台化与软件IP：公司重点推进AIOS+AIBOX、OS+域控+生态架构，并通过操作系统、AI中间件、工具链、算法IP、软件许可和标准化平台能力，推动业务从项目制软件服务向平台、IP和标准化产品提供商升级。</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科创达横跨智能汽车、智能终端、智能物联网和机器人等多个产业链环节，整体处于中游智能软件平台和端侧智能解决方案位置。公司在部分业务中提供操作系统、中间件、工具链和软件授权，在智能物联网和机器人业务中同时涉及硬件模组、整机方案和系统集成。</w:t>
      </w:r>
    </w:p>
    <w:p>
      <w:pPr>
        <w:pStyle w:val="ListParagraph"/>
        <w:numPr>
          <w:ilvl w:val="0"/>
          <w:numId w:val="2"/>
        </w:numPr>
        <w:spacing w:after="80" w:line="280"/>
      </w:pPr>
      <w:r>
        <w:rPr>
          <w:sz w:val="22"/>
          <w:szCs w:val="22"/>
        </w:rPr>
        <w:t xml:space="preserve">芯片和计算平台：业务需要适配高通、英伟达、瑞萨、恩智浦等芯片及计算平台，用于手机、汽车、机器人和AIoT设备。公司在核心芯片、特定计算平台和生态适配环节对芯片厂商依赖较高，议价能力弱于芯片原厂。</w:t>
      </w:r>
    </w:p>
    <w:p>
      <w:pPr>
        <w:pStyle w:val="ListParagraph"/>
        <w:numPr>
          <w:ilvl w:val="0"/>
          <w:numId w:val="2"/>
        </w:numPr>
        <w:spacing w:after="80" w:line="280"/>
      </w:pPr>
      <w:r>
        <w:rPr>
          <w:sz w:val="22"/>
          <w:szCs w:val="22"/>
        </w:rPr>
        <w:t xml:space="preserve">硬件产品和材料：智能物联网和机器人业务采购模组、板卡、显示屏、摄像头、传感器、通信器件、结构件及整机相关材料。2025年硬件产品和材料采购成本22.42亿元，占营业成本42.18%，同比增长96.12%。</w:t>
      </w:r>
    </w:p>
    <w:p>
      <w:pPr>
        <w:pStyle w:val="ListParagraph"/>
        <w:numPr>
          <w:ilvl w:val="0"/>
          <w:numId w:val="2"/>
        </w:numPr>
        <w:spacing w:after="80" w:line="280"/>
      </w:pPr>
      <w:r>
        <w:rPr>
          <w:sz w:val="22"/>
          <w:szCs w:val="22"/>
        </w:rPr>
        <w:t xml:space="preserve">外部服务和工程外包：2025年服务采购成本4.76亿元，占营业成本8.95%，同比增长19.61%；年报未进一步拆分具体供应商类型。</w:t>
      </w:r>
    </w:p>
    <w:p>
      <w:pPr>
        <w:pStyle w:val="ListParagraph"/>
        <w:numPr>
          <w:ilvl w:val="0"/>
          <w:numId w:val="2"/>
        </w:numPr>
        <w:spacing w:after="80" w:line="280"/>
      </w:pPr>
      <w:r>
        <w:rPr>
          <w:sz w:val="22"/>
          <w:szCs w:val="22"/>
        </w:rPr>
        <w:t xml:space="preserve">研发及工程人力：2025年直接人工成本20.48亿元，占营业成本38.54%，研发和项目交付人员成本刚性较强，短期内难以随收入波动同步下降。</w:t>
      </w:r>
    </w:p>
    <w:p>
      <w:pPr>
        <w:pStyle w:val="ListParagraph"/>
        <w:numPr>
          <w:ilvl w:val="0"/>
          <w:numId w:val="2"/>
        </w:numPr>
        <w:spacing w:after="80" w:line="280"/>
      </w:pPr>
      <w:r>
        <w:rPr>
          <w:sz w:val="22"/>
          <w:szCs w:val="22"/>
        </w:rPr>
        <w:t xml:space="preserve">供应商集中度：截至2025年度，前五大供应商采购金额11.22亿元，占年度采购总额24.89%；第一大供应商占采购总额12.69%。前五大供应商名称未披露，无法判断是否集中于特定芯片或硬件厂商。</w:t>
      </w:r>
    </w:p>
    <w:p>
      <w:pPr>
        <w:pStyle w:val="ListParagraph"/>
        <w:numPr>
          <w:ilvl w:val="0"/>
          <w:numId w:val="2"/>
        </w:numPr>
        <w:spacing w:after="80" w:line="280"/>
      </w:pPr>
      <w:r>
        <w:rPr>
          <w:sz w:val="22"/>
          <w:szCs w:val="22"/>
        </w:rPr>
        <w:t xml:space="preserve">上游议价能力：在标准化硬件、板卡、模组和材料环节，公司具备一定规模采购和供应商替代能力；在核心芯片和特定计算平台环节，公司更接近成本接受方。</w:t>
      </w:r>
    </w:p>
    <w:p>
      <w:pPr>
        <w:pStyle w:val="ListParagraph"/>
        <w:numPr>
          <w:ilvl w:val="0"/>
          <w:numId w:val="2"/>
        </w:numPr>
        <w:spacing w:after="80" w:line="280"/>
      </w:pPr>
      <w:r>
        <w:rPr>
          <w:sz w:val="22"/>
          <w:szCs w:val="22"/>
        </w:rPr>
        <w:t xml:space="preserve">客户类型：下游客户包括汽车整车厂和汽车Tier 1、手机及PC等智能终端品牌厂商、芯片厂商、运营商、互联网公司，以及工业、物流、能源、交通、零售和智能制造客户。</w:t>
      </w:r>
    </w:p>
    <w:p>
      <w:pPr>
        <w:pStyle w:val="ListParagraph"/>
        <w:numPr>
          <w:ilvl w:val="0"/>
          <w:numId w:val="2"/>
        </w:numPr>
        <w:spacing w:after="80" w:line="280"/>
      </w:pPr>
      <w:r>
        <w:rPr>
          <w:sz w:val="22"/>
          <w:szCs w:val="22"/>
        </w:rPr>
        <w:t xml:space="preserve">汽车产业链角色：公司既向汽车厂商直接提供软件，也向汽车Tier 1提供软件产品和技术服务，在传统产业链中可同时承担软件Tier 1和软件Tier 2角色；与Tier 1更多体现为互补关系。</w:t>
      </w:r>
    </w:p>
    <w:p>
      <w:pPr>
        <w:pStyle w:val="ListParagraph"/>
        <w:numPr>
          <w:ilvl w:val="0"/>
          <w:numId w:val="2"/>
        </w:numPr>
        <w:spacing w:after="80" w:line="280"/>
      </w:pPr>
      <w:r>
        <w:rPr>
          <w:sz w:val="22"/>
          <w:szCs w:val="22"/>
        </w:rPr>
        <w:t xml:space="preserve">客户集中度：截至2025年度，前五大客户销售金额21.21亿元，占年度营业收入27.27%；第一大客户销售额8.14亿元，占营业收入10.46%；前五大客户中关联方销售占比为0%。前五大客户具体名称未披露。该数据为2025年度单年披露，具体客户集中风险仍应以最新年报为准。</w:t>
      </w:r>
    </w:p>
    <w:p>
      <w:pPr>
        <w:pStyle w:val="ListParagraph"/>
        <w:numPr>
          <w:ilvl w:val="0"/>
          <w:numId w:val="2"/>
        </w:numPr>
        <w:spacing w:after="80" w:line="280"/>
      </w:pPr>
      <w:r>
        <w:rPr>
          <w:sz w:val="22"/>
          <w:szCs w:val="22"/>
        </w:rPr>
        <w:t xml:space="preserve">集中度变化：2024年度前五大客户销售占比为18.65%，2025年升至27.27%，客户集中度有所上升。第一大客户占比超过10%，需关注大客户订单、车型量产节奏、项目验收及客户经营变化。</w:t>
      </w:r>
    </w:p>
    <w:p>
      <w:pPr>
        <w:pStyle w:val="ListParagraph"/>
        <w:numPr>
          <w:ilvl w:val="0"/>
          <w:numId w:val="2"/>
        </w:numPr>
        <w:spacing w:after="80" w:line="280"/>
      </w:pPr>
      <w:r>
        <w:rPr>
          <w:sz w:val="22"/>
          <w:szCs w:val="22"/>
        </w:rPr>
        <w:t xml:space="preserve">下游议价关系：汽车厂商和大型终端客户采购规模大、采购集中，通常在项目价格、交付和验收条款上具有较强话语权；项目定制开发前期投入较高，客户切换供应商存在适配成本，但尚不足以使公司完全摆脱下游议价压力。</w:t>
      </w:r>
    </w:p>
    <w:p>
      <w:pPr>
        <w:pStyle w:val="ListParagraph"/>
        <w:numPr>
          <w:ilvl w:val="0"/>
          <w:numId w:val="2"/>
        </w:numPr>
        <w:spacing w:after="80" w:line="280"/>
      </w:pPr>
      <w:r>
        <w:rPr>
          <w:sz w:val="22"/>
          <w:szCs w:val="22"/>
        </w:rPr>
        <w:t xml:space="preserve">利润结构改善方向：2025年软件许可收入1.91亿元，毛利率81.92%，明显高于软件开发、技术服务和商品销售；提高软件授权、IP授权和平台化服务收入占比，有助于降低项目制和硬件交付带来的下游议价压力。</w:t>
      </w:r>
    </w:p>
    <w:p>
      <w:pPr>
        <w:pStyle w:val="ListParagraph"/>
        <w:numPr>
          <w:ilvl w:val="0"/>
          <w:numId w:val="2"/>
        </w:numPr>
        <w:spacing w:after="80" w:line="280"/>
      </w:pPr>
      <w:r>
        <w:rPr>
          <w:sz w:val="22"/>
          <w:szCs w:val="22"/>
        </w:rPr>
        <w:t xml:space="preserve">截至2025年12月31日，应收账款27.40亿元，占资产总额20.20%，约相当于2025年营业收入的35.23%和归母净利润的6.09倍；存货及合同履约成本账面价值合计约12.60亿元，约相当于营业收入的16.20%；预付款项1.68亿元，占资产总额1.24%，前五大预付款对象合计占预付款余额39.84%。2025年收入增长44.45%，应收账款较2024年末增长14.19%，低于收入增速，说明应收账款占收入比例有所下降、回款效率较2024年有所改善，但应收账款绝对规模仍较高，反映项目交付和客户结算占款特征，不能据此判断公司对下游拥有强议价能力。年报披露公司通过预收货款、分期采购和分期交付控制应收账款和财务风险，同时提示仍存在坏账风险。</w:t>
      </w:r>
    </w:p>
    <w:p>
      <w:pPr>
        <w:pStyle w:val="ListParagraph"/>
        <w:numPr>
          <w:ilvl w:val="0"/>
          <w:numId w:val="2"/>
        </w:numPr>
        <w:spacing w:after="80" w:line="280"/>
      </w:pPr>
      <w:r>
        <w:rPr>
          <w:sz w:val="22"/>
          <w:szCs w:val="22"/>
        </w:rPr>
        <w:t xml:space="preserve">供应商和客户集中度均为2025年度数据：前五大供应商采购占比24.89%，第一大供应商占比12.69%；前五大客户销售占比27.27%，第一大客户占比10.46%。供应商和客户名称均未披露，且客户集中度仅在纪要中明确列示2024年和2025年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约39.29%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智能汽车和智能物联网处于较快扩张阶段，软件开发和技术服务收入占比较高，整体仍具有较强软件属性；但硬件和材料采购增长使毛利率较早期承压。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约36.95%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约8.89%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手机、智能汽车和物联网部分项目增速放缓，研发和人员投入仍较高，技术服务及硬件交付占比增加，毛利率和净利率下降。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34.29%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约7.56%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能汽车受到部分车厂验收周期延长和车型出货不及预期影响，智能软件受到手机行业竞争加剧和定制化增强影响；研发投入继续增加，压制利润率。智能汽车、智能软件和智能物联网毛利率分别为44.30%、34.67%和18.27%。</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31.67%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物联网收入大幅增长，但硬件产品和材料采购成本同步上升，低毛利商品销售及其他业务占比提高，综合毛利率继续下降；同时智能汽车、智能软件、软件开发和软件许可毛利率改善，软件许可毛利率达81.92%。</w:t>
            </w:r>
          </w:p>
        </w:tc>
      </w:tr>
    </w:tbl>
    <w:p>
      <w:pPr>
        <w:spacing w:before="200"/>
      </w:pPr>
    </w:p>
    <w:p>
      <w:pPr>
        <w:spacing w:after="160" w:line="300"/>
      </w:pPr>
      <w:r>
        <w:rPr>
          <w:sz w:val="22"/>
          <w:szCs w:val="22"/>
        </w:rPr>
        <w:t xml:space="preserve">公司处于产业链中游偏技术平台位置，既不是上游芯片和基础硬件的高议价环节，也不是拥有强品牌溢价的下游终端厂商。利润率进一步提升主要依赖智能汽车软件授权和整车操作系统放量、AIOS及软件IP和软件许可收入占比提高，以及降低智能物联网硬件交付和材料采购在收入中的比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43.05亿元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同比增长30.46%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归母净利润2.456亿元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同比增长54.97%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约25.56亿元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同比增长39.63%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归母净利润约1.43亿元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同比增长117.31%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77.78亿元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同比增长44.45%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归母净利润4.501亿元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同比增长10.47%</w:t>
            </w:r>
          </w:p>
        </w:tc>
      </w:tr>
    </w:tbl>
    <w:p>
      <w:pPr>
        <w:spacing w:after="200"/>
      </w:pPr>
      <w:r>
        <w:rPr>
          <w:i/>
          <w:iCs/>
          <w:color w:val="595959"/>
          <w:sz w:val="18"/>
          <w:szCs w:val="18"/>
        </w:rPr>
        <w:t xml:space="preserve">2026年上半年扣非归母净利润为2.335亿元，同比增长71.32%；基本每股收益为0.5337元，同比增长54.79%。2026年第二季度扣非归母净利润约1.36亿元，同比增长179.27%。2026年上半年经营活动产生的现金流量净额为-6357.27万元，同比下降123.83%，公司解释主要由于报告期备货增加。</w:t>
      </w:r>
    </w:p>
    <w:p>
      <w:pPr>
        <w:spacing w:after="160" w:line="300"/>
      </w:pPr>
      <w:r>
        <w:rPr>
          <w:sz w:val="22"/>
          <w:szCs w:val="22"/>
        </w:rPr>
        <w:t xml:space="preserve">公司2026年上半年收入和利润保持较快增长，二季度利润增速明显高于收入增速，主要与费用率下降、经营杠杆改善有关。上半年整体毛利率为29.08%，同比下降4.08个百分点，其中智能物联网业务收入18.66亿元、同比增长46.93%，但毛利率仅为14.36%，低于智能汽车业务的43.26%和智能软件业务的36.31%，对整体毛利率形成一定拖累。利润增长与经营现金流为负之间存在背离，后续需关注存货、应收账款及经营现金流改善情况。</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显示近6个月内有11家机构预测2026年业绩，2027年有11家机构参与预测，2028年有10家机构参与预测。5家机构研报简单平均数据来自中国银河、华泰证券、西部证券、国投证券和中银证券、华创证券等纪要披露数据的汇总口径；纪要表述为上述5家机构，但列示的机构名单实际包含6家，相关简单平均数据应作为参考区间而非正式一致预期。机构预测并非公司官方业绩指引。2026年机构预测区间为归母净利润约4.52亿至6.71亿元、EPS约0.98至1.46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约98.27亿元（5家机构研报简单平均）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6.17亿元（同花顺近6个月11家机构预测平均值）；5家机构研报简单平均为6.23亿元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约37.04%（同花顺机构预测平均值）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1.34元（同花顺近6个月11家机构预测平均值）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约120.26亿元（5家机构研报简单平均）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7.83亿元（同花顺机构预测平均值）；5家机构研报简单平均为7.85亿元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1.70元（同花顺机构预测平均值）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约144.11亿元（5家机构研报简单平均）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9.60亿元（同花顺机构预测平均值）；5家机构研报简单平均为9.54亿元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2.08元（同花顺机构预测平均值）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预计2026—2028年归母净利润分别为6.66亿元、8.42亿元和10.67亿元，EPS分别为1.44元、1.82元和2.31元；给予6个月目标价77.44元。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预计2026—2028年归母净利润分别为6.68亿元、8.61亿元和10.82亿元；目标价72.50元。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目标价85元，采用2026年SOTP估值方法；报告披露按2026/2027年预测利润计算，当前股价对应PE约42.4倍/35.6倍。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预计2026—2028年归母净利润分别为6.32亿元、7.99亿元和9.36亿元。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预计2026—2028年归母净利润分别为5.95亿元、7.50亿元和8.97亿元。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预计2026—2028年归母净利润分别为6.10亿元、7.50亿元和9.00亿元，EPS分别为1.33元、1.62元和1.95元。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预计2026—2028年归母净利润分别为6.11亿元、7.86亿元和9.72亿元。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同花顺F10近6个月评级汇总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记录到的10份评级研报均为“买入”，未显示增持、中性、减持或卖出评级；该统计不一定覆盖所有券商及海外机构。</w:t>
            </w:r>
          </w:p>
        </w:tc>
      </w:tr>
    </w:tbl>
    <w:p>
      <w:pPr>
        <w:spacing w:before="200"/>
      </w:pPr>
    </w:p>
    <w:p>
      <w:pPr>
        <w:spacing w:after="160" w:line="300"/>
      </w:pPr>
      <w:r>
        <w:rPr>
          <w:sz w:val="22"/>
          <w:szCs w:val="22"/>
        </w:rPr>
        <w:t xml:space="preserve">截至2026年9月11日收盘，公司股价54.45元，A股总市值约251.40亿元；理杏仁数据显示市盈率TTM约46.79倍、市净率约2.38倍、股息率约0.34%，滚动市盈率处于历史估值区间约12.40%分位，低于历史中位数约62.62倍。按同花顺机构平均预测，当前股价对应2026—2028年预测PE约40.6倍、32.0倍和26.2倍；按中国银河预测，对应PE约37.8倍、29.9倍和23.6倍。近期公开研报目标价主要分布在72.50元至85元之间，富途汇总的市场目标价平均约80.73元、最高89.79元、最低72.50元，但该数据为第三方汇总。估值方法主要包括2026年PE和SOTP，华泰目标价72.50元对应约50倍2026年PE，中国银河目标价77.44元对应约60倍动态PE。当前估值已反映市场对AIOS、智能汽车、智能物联网及机器人业务持续放量和利润增长的预期；主要风险包括智能物联网业务毛利率偏低、经营现金流暂时为负、AIOS及机器人业务商业化进度不及预期，以及不同机构对2028年收入和利润预测存在较大分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子公司参与股权投资基金完成备案并调整合伙人结构</w:t>
      </w:r>
    </w:p>
    <w:p>
      <w:pPr>
        <w:spacing w:after="160" w:line="300"/>
      </w:pPr>
      <w:r>
        <w:rPr>
          <w:sz w:val="22"/>
          <w:szCs w:val="22"/>
        </w:rPr>
        <w:t xml:space="preserve">2026年9月11日，中科创达披露《关于子公司与专业机构共同投资的进展公告》（公告编号：2026-054）。公司全资子公司北京聚引融合科技有限公司拟以自有资金认缴3,015万元，参与投资北京国科生成股权投资基金合伙企业（有限合伙）。截至2026年9月11日，该基金已完成中国证券投资基金业协会备案，备案编码为SCJ076，管理人为中国科技产业投资管理有限公司，托管人为招商银行股份有限公司。基金规模由此前披露的94,771.50万元调整为74,872.50万元；北京聚引出资额仍为3,015万元，出资比例由3.1813%调整为4.0268%。公司表示，底层项目投资金额及北京聚引对基金的出资额未发生变化。公告未披露具体底层被投项目名称、投资收益预测或退出安排，短期经营业绩贡献尚不明确。来源：新浪财经公告页，公告日期2026年9月11日。</w:t>
      </w:r>
    </w:p>
    <w:p>
      <w:pPr>
        <w:pStyle w:val="Heading2"/>
        <w:spacing w:after="120" w:before="240"/>
      </w:pPr>
      <w:r>
        <w:rPr>
          <w:b/>
          <w:bCs/>
          <w:color w:val="2E74B5"/>
          <w:sz w:val="24"/>
          <w:szCs w:val="24"/>
        </w:rPr>
        <w:t xml:space="preserve">4.2 2026年第一次临时股东会审议通过多项议案</w:t>
      </w:r>
    </w:p>
    <w:p>
      <w:pPr>
        <w:spacing w:after="160" w:line="300"/>
      </w:pPr>
      <w:r>
        <w:rPr>
          <w:sz w:val="22"/>
          <w:szCs w:val="22"/>
        </w:rPr>
        <w:t xml:space="preserve">2026年9月10日，公司披露《2026年第一次临时股东会决议公告》（公告编号：2026-053）。本次会议现场及网络投票股东及股东代理人共417人，代表股份144,279,729股，占公司有表决权股份总数的31.2485%。会议未出现否决议案，审议通过了2022年向特定对象发行股票募投项目结项并将节余募集资金永久补充流动资金、为控股子公司提供担保额度预计、向控股子公司提供财务资助、变更公司注册资本并修改《公司章程》等议案。同意比例分别为99.7841%、87.6922%、87.6115%和99.7786%。实际控制人赵鸿飞对担保议案和财务资助议案回避表决。</w:t>
      </w:r>
    </w:p>
    <w:p>
      <w:pPr>
        <w:pStyle w:val="Heading2"/>
        <w:spacing w:after="120" w:before="240"/>
      </w:pPr>
      <w:r>
        <w:rPr>
          <w:b/>
          <w:bCs/>
          <w:color w:val="2E74B5"/>
          <w:sz w:val="24"/>
          <w:szCs w:val="24"/>
        </w:rPr>
        <w:t xml:space="preserve">4.3 募投项目结项并拟将8.7132亿元节余募集资金永久补流</w:t>
      </w:r>
    </w:p>
    <w:p>
      <w:pPr>
        <w:spacing w:after="160" w:line="300"/>
      </w:pPr>
      <w:r>
        <w:rPr>
          <w:sz w:val="22"/>
          <w:szCs w:val="22"/>
        </w:rPr>
        <w:t xml:space="preserve">公司于2026年8月26日披露相关公告，并于2026年9月10日经临时股东会审议通过。公司2022年向特定对象发行股票募集资金净额为30.8736亿元。截至2026年8月13日，募投项目累计投入募集资金22.1604亿元，占募集资金净额的71.78%；拟结项项目节余募集资金为8.7132亿元，另加截至资金转出日的银行利息收入。拟结项项目包括整车操作系统研发项目、边缘计算站研发及产业化项目、扩展现实（XR）研发及产业化项目、分布式算力网络技术研发项目。节余资金主要与项目实施过程中节约开支、办公场地购置计划未执行而采用租赁方式、闲置募集资金现金管理及利息收入等因素有关。资金永久补充流动资金后，需关注实际用途及对核心研发和汽车智能化业务的支持情况。</w:t>
      </w:r>
    </w:p>
    <w:p>
      <w:pPr>
        <w:pStyle w:val="Heading2"/>
        <w:spacing w:after="120" w:before="240"/>
      </w:pPr>
      <w:r>
        <w:rPr>
          <w:b/>
          <w:bCs/>
          <w:color w:val="2E74B5"/>
          <w:sz w:val="24"/>
          <w:szCs w:val="24"/>
        </w:rPr>
        <w:t xml:space="preserve">4.4 获批向控股子公司提供不超过3亿元财务资助</w:t>
      </w:r>
    </w:p>
    <w:p>
      <w:pPr>
        <w:spacing w:after="160" w:line="300"/>
      </w:pPr>
      <w:r>
        <w:rPr>
          <w:sz w:val="22"/>
          <w:szCs w:val="22"/>
        </w:rPr>
        <w:t xml:space="preserve">公司于2026年8月26日披露《关于向控股子公司提供财务资助的公告》（公告编号：2026-050），并于2026年9月10日经股东会通过。资助对象为苏州畅行智驾汽车科技有限公司，公司持股比例为56.06%；财务资助额度不超过3亿元，有效期为股东会审议通过之日起36个月，单笔借款期限为1年，可提前还款，利率按借款协议签署日1年期LPR上浮20%执行，资金用途为备货等日常经营活动。截至2026年6月30日，畅行智驾未经审计的资产总额为2.5652亿元、负债总额为1.8751亿元、净资产为6,900.71万元、资产负债率为73.10%；2026年上半年营业收入为1.1351亿元，净利润为-923.82万元。3亿元为授权额度，不等同于已实际使用。</w:t>
      </w:r>
    </w:p>
    <w:p>
      <w:pPr>
        <w:pStyle w:val="Heading2"/>
        <w:spacing w:after="120" w:before="240"/>
      </w:pPr>
      <w:r>
        <w:rPr>
          <w:b/>
          <w:bCs/>
          <w:color w:val="2E74B5"/>
          <w:sz w:val="24"/>
          <w:szCs w:val="24"/>
        </w:rPr>
        <w:t xml:space="preserve">4.5 获批为控股子公司提供不超过3亿元担保额度</w:t>
      </w:r>
    </w:p>
    <w:p>
      <w:pPr>
        <w:spacing w:after="160" w:line="300"/>
      </w:pPr>
      <w:r>
        <w:rPr>
          <w:sz w:val="22"/>
          <w:szCs w:val="22"/>
        </w:rPr>
        <w:t xml:space="preserve">公司于2026年8月26日披露《关于为控股子公司提供担保额度预计的公告》（公告编号：2026-049），并于2026年9月10日经股东会通过。被担保对象为苏州畅行智驾汽车科技有限公司，公司持股比例为56.06%。新增担保额度不超过3亿元，含等值外币；担保期限为股东会通过之日起一年；担保方式包括一般保证、连带责任保证、抵押、质押、内保外贷等。截至公告披露日担保余额为0元，新增担保额度占公司最近一期净资产比例为2.84%。截至2026年6月30日，畅行智驾资产负债率为73.10%，2026年上半年净利润为-923.82万元。该额度为授权上限，不等同于已经实际发生3亿元担保债务。</w:t>
      </w:r>
    </w:p>
    <w:p>
      <w:pPr>
        <w:pStyle w:val="Heading2"/>
        <w:spacing w:after="120" w:before="240"/>
      </w:pPr>
      <w:r>
        <w:rPr>
          <w:b/>
          <w:bCs/>
          <w:color w:val="2E74B5"/>
          <w:sz w:val="24"/>
          <w:szCs w:val="24"/>
        </w:rPr>
        <w:t xml:space="preserve">4.6 2026年半年度业绩预告显示利润同比增长</w:t>
      </w:r>
    </w:p>
    <w:p>
      <w:pPr>
        <w:spacing w:after="160" w:line="300"/>
      </w:pPr>
      <w:r>
        <w:rPr>
          <w:sz w:val="22"/>
          <w:szCs w:val="22"/>
        </w:rPr>
        <w:t xml:space="preserve">截至2026年9月14日，检索到的最新业绩预告为2026年半年度业绩预告，公告日期为2026年7月18日；未检索到2026年9月新披露的三季度业绩预告或业绩修正公告。公司预计2026年上半年归属于上市公司股东的净利润为23,771.24万元至24,563.62万元，同比增长50%至55%；扣除非经常性损益后的净利润为21,808.59万元至23,171.63万元，同比增长60%至70%；上半年营业收入预计同比增长超过30%。公司称业绩增长主要来自全球化战略、AIOS战略推进以及在多终端、多场景中深化AIOS技术应用。上述预告数据为初步测算，未经会计师事务所审计。公司于2026年8月26日披露半年度报告，公开信息显示上半年归母净利润约2.46亿元，同比增长54.97%，与预告区间基本一致。</w:t>
      </w:r>
    </w:p>
    <w:p>
      <w:pPr>
        <w:pStyle w:val="Heading2"/>
        <w:spacing w:after="120" w:before="240"/>
      </w:pPr>
      <w:r>
        <w:rPr>
          <w:b/>
          <w:bCs/>
          <w:color w:val="2E74B5"/>
          <w:sz w:val="24"/>
          <w:szCs w:val="24"/>
        </w:rPr>
        <w:t xml:space="preserve">4.7 上一轮股份回购完成注销，暂未发现9月新增回购方案</w:t>
      </w:r>
    </w:p>
    <w:p>
      <w:pPr>
        <w:spacing w:after="160" w:line="300"/>
      </w:pPr>
      <w:r>
        <w:rPr>
          <w:sz w:val="22"/>
          <w:szCs w:val="22"/>
        </w:rPr>
        <w:t xml:space="preserve">截至2026年9月14日，未检索到2026年9月新增股份回购方案或新一期回购进展公告。公司上一轮回购已于2026年5月完成，累计回购股份1,037,600股，占注销前总股本约0.23%；回购资金总额约6,000.98万元，不含交易费用；回购最高成交价为78.10元/股，最低成交价为48.65元/股。相关股份已于2026年5月22日注销，注销后公司总股本由460,771,144股减少至459,733,544股。</w:t>
      </w:r>
    </w:p>
    <w:p>
      <w:pPr>
        <w:pStyle w:val="Heading2"/>
        <w:spacing w:after="120" w:before="240"/>
      </w:pPr>
      <w:r>
        <w:rPr>
          <w:b/>
          <w:bCs/>
          <w:color w:val="2E74B5"/>
          <w:sz w:val="24"/>
          <w:szCs w:val="24"/>
        </w:rPr>
        <w:t xml:space="preserve">4.8 未发现9月控股股东及主要股东新增减持或质押变动</w:t>
      </w:r>
    </w:p>
    <w:p>
      <w:pPr>
        <w:spacing w:after="160" w:line="300"/>
      </w:pPr>
      <w:r>
        <w:rPr>
          <w:sz w:val="22"/>
          <w:szCs w:val="22"/>
        </w:rPr>
        <w:t xml:space="preserve">截至2026年9月14日，按公开公告检索，未检索到2026年9月控股股东或持股5%以上股东新增减持计划、减持结果公告，也未检索到9月新增质押、解质押或实际控制权变动公告。最近一笔较重要的股东股权变动为2026年6月15日披露的赵鸿飞股份质押及解质押：新增质押680万股，占公司总股本1.47%；其中420万股质押给银河金汇证券资产管理有限公司，260万股质押给招商证券资产管理有限公司；同期解除质押810万股。公告披露日赵鸿飞累计质押股份680万股，占其持股5.56%、占公司总股本1.47%。公司称不存在平仓风险，不会导致实际控制权变更。未检索到结论基于公开公告数据库、公司公告列表和公开搜索结果，不能排除公告披露时间差或个别数据库尚未收录的可能。</w:t>
      </w:r>
    </w:p>
    <w:p>
      <w:pPr>
        <w:pStyle w:val="Heading2"/>
        <w:spacing w:after="120" w:before="240"/>
      </w:pPr>
      <w:r>
        <w:rPr>
          <w:b/>
          <w:bCs/>
          <w:color w:val="2E74B5"/>
          <w:sz w:val="24"/>
          <w:szCs w:val="24"/>
        </w:rPr>
        <w:t xml:space="preserve">4.9 工商变更完成，注册资本登记为46077.1144万元</w:t>
      </w:r>
    </w:p>
    <w:p>
      <w:pPr>
        <w:spacing w:after="160" w:line="300"/>
      </w:pPr>
      <w:r>
        <w:rPr>
          <w:sz w:val="22"/>
          <w:szCs w:val="22"/>
        </w:rPr>
        <w:t xml:space="preserve">公司于2026年8月3日完成工商变更登记并换发营业执照，注册资本登记为46077.1144万元。变更原因主要是2021年限制性股票激励计划部分股份归属上市，导致总股本由460,012,019股增至460,771,144股。该事项属于股权激励归属后的工商登记变更，不属于新的并购或控制权变化。</w:t>
      </w:r>
    </w:p>
    <w:p>
      <w:pPr>
        <w:pStyle w:val="Heading2"/>
        <w:spacing w:after="120" w:before="240"/>
      </w:pPr>
      <w:r>
        <w:rPr>
          <w:b/>
          <w:bCs/>
          <w:color w:val="2E74B5"/>
          <w:sz w:val="24"/>
          <w:szCs w:val="24"/>
        </w:rPr>
        <w:t xml:space="preserve">4.10 暂未检索到监管处罚及重大诉讼等事项</w:t>
      </w:r>
    </w:p>
    <w:p>
      <w:pPr>
        <w:spacing w:after="160" w:line="300"/>
      </w:pPr>
      <w:r>
        <w:rPr>
          <w:sz w:val="22"/>
          <w:szCs w:val="22"/>
        </w:rPr>
        <w:t xml:space="preserve">截至2026年9月14日，未检索到针对中科创达的监管处罚、立案调查、问询函、重大诉讼或重大行政监管措施公告。近期公告重点集中于股权投资基金备案及结构调整、募投项目结项、向控股子公司提供财务资助、为控股子公司提供担保，以及公司章程和注册资本变更。</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300496；中科创达</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上市交易所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54.45元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-1.03元/-1.86%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55.06元/55.30元/53.43元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约917.01万股，约9.17万手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约4.96亿元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约251.6亿元；不同平台数据约251.40亿至256.16亿元，存在股价日期和更新时间差异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约201亿至205亿元，因股本口径和更新时间不同存在差异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动态市盈率/TTM市盈率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约47.7倍至48倍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前复权口径约89元高点、约52元低点；大波浪数据为89.23元和51.91元，部分平台显示89.47元和52.51元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9月7日至9月11日由59.39元回落至54.45元，累计跌幅约8.3%；从8月31日59.49元高点计算，累计回撤约8.5%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9月初冲高后连续回落，9月8日放量下跌，9月9日至11日成交额逐步下降，呈下跌后缩量特征，尚未出现明确止跌反转信号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截至2026年9月10日分别为57.52元、58.09元、57.86元；加入9月11日收盘价重新粗略计算分别约为56.60元、57.88元、57.59元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两组数据存在一个交易日差异，但当前价格均低于三条均线，短期均线结构偏弱；反弹首先面临约56.5元至58元均线密集区压力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截至2026年9月10日，DIF为-0.61，DEA为-0.47，MACD柱为-0.28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DIF低于DEA且两者均位于零轴下方，MACD柱为负，处于弱势运行状态；因缺少完整至9月11日的重新计算序列，指标存在一个交易日滞后，尚不能证明已形成低位金叉或柱体收敛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截至2026年9月10日，RSI6为25.5，RSI12为36.8，RSI24为42.9；RSI6约处于近250个交易日的8%分位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RSI6低于30，进入传统超卖区间，短线动能明显弱于中期动能；超卖只说明短线下跌较快，不代表股价必然立即反弹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截至2026年9月10日，上轨61.10元、中轨57.85元、下轨54.61元；加入9月11日收盘价粗略计算，上轨约61.02元、中轨约57.59元、下轨约54.15元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9月11日收盘价54.45元接近布林下轨区域但尚未明确有效跌破，约54.1元至54.6元为短期重要观察区间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截至2026年9月10日，K值27.8、D值45.1、J值-6.9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K值低于D值、J值为负，显示短线处于弱势和超卖附近，但不能据此确认反转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波动与量比</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截至2026年9月10日，量比0.61，当日振幅1.28%，20日平均振幅3.27%，ATR14约为收盘价的3.25%；9月11日最低触及53.43元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9月10日成交和波动低于近期平均水平，9月11日盘中波动有所扩大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截至2026年9月10日，近10个交易日主力资金合计净流出约2.85亿元，其中3天净流入、7天净流出，最近4个交易日连续净流出；9月11日超大单和大单合计净流出约3,914万元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9月8日约2.56亿元的主力净流出与放量下跌同步出现，是近期资金面较明显的转弱信号；9月9日至11日大单资金方向仍偏流出。该口径不等同于真实机构资金，可能受到大单拆分、对倒和交易席位结构影响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截至2026年9月10日，获利盘比例约4.3%，平均持仓成本约59.00元，中位数约59.20元，70%筹码成本区间约56.00元至60.80元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9月11日收盘进一步降至54.45元，低于上述筹码密集区下沿；56元至60元区域后续可能形成反弹压力。筹码分布为历史成交和换手估算，不是上市公司披露的逐笔持仓数据</w:t>
            </w:r>
          </w:p>
        </w:tc>
      </w:tr>
    </w:tbl>
    <w:p>
      <w:pPr>
        <w:spacing w:before="200"/>
      </w:pPr>
    </w:p>
    <w:p>
      <w:pPr>
        <w:spacing w:after="160" w:line="300"/>
      </w:pPr>
      <w:r>
        <w:rPr>
          <w:sz w:val="22"/>
          <w:szCs w:val="22"/>
        </w:rPr>
        <w:t xml:space="preserve">截至2026年9月11日，中科创达股价处于9月初冲高后的回落阶段，收盘价54.45元，已接近约54.1元至54.6元的布林下轨观察区间。股价低于MA5、MA10和MA20，MACD位于零轴下方且DIF低于DEA，KDJ偏弱，技术形态整体偏弱；同时RSI6为25.5，短线已进入传统超卖区间，存在技术性反抽可能，但不能据此确认趋势反转。资金面上，9月8日出现放量下跌及较大规模主力净流出，随后成交额回落，9月11日成交额约4.96亿元、低于近20日约6.15亿元的粗略均值，表现为下跌后的相对缩量，买盘承接尚未明显增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风险提示：以下内容仅为基于截至2026年9月11日收盘数据、公开技术指标和资金流向的主观情景推演，不构成投资建议，也不代表对未来价格的确定性预测。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56.5~58.1元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对应重新计算的MA5约56.6元、MA10约57.9元、MA20约57.6元及原技术页面均线密集区。若反弹无法重新站上56.5元，弱势格局仍可能延续；若放量收复58元附近，才更接近短线止跌企稳确认。</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53.4~54.6元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对应2026年9月11日最低价53.43元及布林下轨约54.15~54.61元。若该区域出现缩量止跌并重新收复55元，可能形成技术性反抽；若放量跌破53.4元，短线将打开进一步向52元附近回探的空间。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51.9~53.0元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接近2026年7月14日形成的52周低点约51.91元，并包含近期低位可能形成的前期支撑。若有效跌破52元附近，意味着股价重新接近或创出52周新低，弱势结构可能进一步强化。</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属于基于当前技术和资金状态的主观启发式权重，不是统计概率）：运行区间约53.5~56.5元。触发条件为股价在53.4~54.6元附近获得承接，成交额维持约4亿~6亿元，主力净流出明显收窄，且不出现放量跌破53.4元。RSI6低位可能带来技术性反抽，但56~58元附近仍可能受到均线压力。</w:t>
      </w:r>
    </w:p>
    <w:p>
      <w:pPr>
        <w:pStyle w:val="ListParagraph"/>
        <w:numPr>
          <w:ilvl w:val="0"/>
          <w:numId w:val="2"/>
        </w:numPr>
        <w:spacing w:after="80" w:line="280"/>
      </w:pPr>
      <w:r>
        <w:rPr>
          <w:sz w:val="22"/>
          <w:szCs w:val="22"/>
        </w:rPr>
        <w:t xml:space="preserve">偏弱下行（主观权重中等，约三成；属于主观启发式权重，不是统计概率）：运行区间约51.9~54.0元。触发条件为股价有效跌破53.4元，同时单日成交额明显高于近期均值，或主力资金继续连续净流出；若52元附近支撑也失守，则52周低点可能被测试。MACD、均线和资金流向均未排除偏弱下行风险，但若成交额不能持续放大，也可能表现为弱势阴跌。</w:t>
      </w:r>
    </w:p>
    <w:p>
      <w:pPr>
        <w:pStyle w:val="ListParagraph"/>
        <w:numPr>
          <w:ilvl w:val="0"/>
          <w:numId w:val="2"/>
        </w:numPr>
        <w:spacing w:after="80" w:line="280"/>
      </w:pPr>
      <w:r>
        <w:rPr>
          <w:sz w:val="22"/>
          <w:szCs w:val="22"/>
        </w:rPr>
        <w:t xml:space="preserve">反弹走强（主观权重偏低，约一成至两成；属于主观启发式权重，不是统计概率）：运行区间约56.5~59.0元。触发条件为股价先重新站上56.5元，再放量突破57.8~58.1元均线密集区，同时单日成交额至少达到约7.5亿元，并且主力资金由连续净流出转为连续净流入。若进一步突破59元附近，可能向前期59.5~60元区域反弹；在量能和主力资金未配合前，单纯依靠RSI超卖的反弹更接近技术性修复，而非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2.48%，成交额约4.96亿元；近20个交易日成交额约3.69亿~9.95亿元，粗略均值约6.15亿元。当前成交活跃度尚可，但9月11日成交额低于近期均值及9月8日放量下跌时的8.84亿元，属于下跌后的相对缩量状态。股东户数截至2026年6月30日约9.40万户，较2026年3月31日减少697户、环比减少约0.74%。截至2026年3月31日，前十大流通股东合计持有流通股约16.33%，其中公募及指数基金合计约3.70%，香港中央结算有限公司持股约1.14%；第一大流通股东赵鸿飞持股约3,058.78万股，占流通股8.30%。股东结构既包括实际控制人或自然人，也包括公募或指数产品，并非完全由机构主导。上述集中度和机构持股数据为2026年一季报口径，公告日为2026年4月27日，距离当前价格数据已有较长时间，期间股价和机构持仓可能发生变化，不能直接视为2026年9月实时筹码结构。结合当前数据，股票并非低流动性小盘股，但回落阶段主动资金不强；若未来出现放量破位，价格波动可能明显扩大。</w:t>
      </w:r>
    </w:p>
    <w:p>
      <w:pPr>
        <w:spacing w:after="160" w:line="300"/>
      </w:pPr>
      <w:r>
        <w:rPr>
          <w:sz w:val="22"/>
          <w:szCs w:val="22"/>
        </w:rPr>
        <w:t xml:space="preserve">可检查的量能确认信号：若股价重新站上56.5~58元区间，并且连续两个交易日单日成交额达到约7.5亿元以上，同时主力资金不再连续净流出，可视为短线资金承接改善的确认信号；反之，若跌破53.4元时成交额明显超过近期均值，则需警惕支撑失效。</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观察53.4~54.6元区域能否出现缩量止跌；以上为观察思路，非操作指令。</w:t>
      </w:r>
    </w:p>
    <w:p>
      <w:pPr>
        <w:pStyle w:val="ListParagraph"/>
        <w:numPr>
          <w:ilvl w:val="0"/>
          <w:numId w:val="2"/>
        </w:numPr>
        <w:spacing w:after="80" w:line="280"/>
      </w:pPr>
      <w:r>
        <w:rPr>
          <w:sz w:val="22"/>
          <w:szCs w:val="22"/>
        </w:rPr>
        <w:t xml:space="preserve">观察56.5~58.1元均线密集区能否被重新收复；以上为观察思路，非操作指令。</w:t>
      </w:r>
    </w:p>
    <w:p>
      <w:pPr>
        <w:pStyle w:val="ListParagraph"/>
        <w:numPr>
          <w:ilvl w:val="0"/>
          <w:numId w:val="2"/>
        </w:numPr>
        <w:spacing w:after="80" w:line="280"/>
      </w:pPr>
      <w:r>
        <w:rPr>
          <w:sz w:val="22"/>
          <w:szCs w:val="22"/>
        </w:rPr>
        <w:t xml:space="preserve">观察主力资金是否结束连续净流出，尤其关注9月8日以后大单资金流向能否转正；以上为观察思路，非操作指令。</w:t>
      </w:r>
    </w:p>
    <w:p>
      <w:pPr>
        <w:pStyle w:val="ListParagraph"/>
        <w:numPr>
          <w:ilvl w:val="0"/>
          <w:numId w:val="2"/>
        </w:numPr>
        <w:spacing w:after="80" w:line="280"/>
      </w:pPr>
      <w:r>
        <w:rPr>
          <w:sz w:val="22"/>
          <w:szCs w:val="22"/>
        </w:rPr>
        <w:t xml:space="preserve">观察单日成交额是否连续达到约7.5亿元以上，并与价格突破同步；以上为观察思路，非操作指令。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由智能汽车软件、智能终端及端侧AI、工业物联网和移动机器人等相关赛道构成。行业核心趋势包括汽车电子电气架构向中央计算、舱驾融合和软件定义汽车演进，以及操作系统、基础软件、中间件、AI和边缘计算向更多终端和行业场景延伸。公司尚未披露覆盖全部业务的独立市场份额排名，因此不宜据此推导其整体行业市场占有率。</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智能汽车软件产业链上游包括传感器、芯片、算法、操作系统、云平台和电子电气架构，中游包括智能座舱、智能驾驶、整车软件和汽车电子解决方案，下游为整车厂、经销商及相关服务商。随着中央计算、舱驾融合和软件定义汽车发展，基础软件、操作系统和中间件价值量提升。</w:t>
      </w:r>
    </w:p>
    <w:p>
      <w:pPr>
        <w:pStyle w:val="ListParagraph"/>
        <w:numPr>
          <w:ilvl w:val="0"/>
          <w:numId w:val="2"/>
        </w:numPr>
        <w:spacing w:after="80" w:line="280"/>
      </w:pPr>
      <w:r>
        <w:rPr>
          <w:sz w:val="22"/>
          <w:szCs w:val="22"/>
        </w:rPr>
        <w:t xml:space="preserve">智能汽车软件竞争主体包括主机厂自研软件团队、华为和百度等科技公司、德赛西威和经纬恒润等传统汽车电子及软件供应商、四维图新等地图和智能驾驶软件公司，以及中科创达、光庭信息、诚迈科技等独立汽车软件企业。公司管理层曾表示国内智能汽车系统软件直接竞争者相对有限，该表述属于管理层观点，不等同于独立第三方市场份额数据。</w:t>
      </w:r>
    </w:p>
    <w:p>
      <w:pPr>
        <w:pStyle w:val="ListParagraph"/>
        <w:numPr>
          <w:ilvl w:val="0"/>
          <w:numId w:val="2"/>
        </w:numPr>
        <w:spacing w:after="80" w:line="280"/>
      </w:pPr>
      <w:r>
        <w:rPr>
          <w:sz w:val="22"/>
          <w:szCs w:val="22"/>
        </w:rPr>
        <w:t xml:space="preserve">智能终端和端侧AI领域的竞争主体包括高通、联发科、英特尔等芯片厂商的软件栈，华为鸿蒙、谷歌Android、微软Windows等操作系统和生态平台，终端厂商自研系统，以及专业系统软件和嵌入式软件服务商。</w:t>
      </w:r>
    </w:p>
    <w:p>
      <w:pPr>
        <w:pStyle w:val="ListParagraph"/>
        <w:numPr>
          <w:ilvl w:val="0"/>
          <w:numId w:val="2"/>
        </w:numPr>
        <w:spacing w:after="80" w:line="280"/>
      </w:pPr>
      <w:r>
        <w:rPr>
          <w:sz w:val="22"/>
          <w:szCs w:val="22"/>
        </w:rPr>
        <w:t xml:space="preserve">工业物联网和移动机器人领域竞争者包括ABB、发那科、安川等工业机器人企业，中控技术、汇川技术等国内工业自动化和控制厂商，物流机器人和AMR企业，大疆等具备硬件和算法能力的机器人厂商，以及传统系统集成商和客户自研团队。</w:t>
      </w:r>
    </w:p>
    <w:p>
      <w:pPr>
        <w:pStyle w:val="ListParagraph"/>
        <w:numPr>
          <w:ilvl w:val="0"/>
          <w:numId w:val="2"/>
        </w:numPr>
        <w:spacing w:after="80" w:line="280"/>
      </w:pPr>
      <w:r>
        <w:rPr>
          <w:sz w:val="22"/>
          <w:szCs w:val="22"/>
        </w:rPr>
        <w:t xml:space="preserve">公司竞争优势在于跨芯片、跨终端和跨场景提供操作系统适配、AI中间件、系统工程和产品交付服务，并尝试将操作系统、边缘计算、AI、运动控制、感知、导航和集群调度进行平台化；短板是机器人和相关行业AI业务仍处于扩张期，品牌、规模化交付、硬件供应链和项目盈利能力仍需验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光庭信息（301221）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更聚焦汽车软件开发和工程服务，覆盖智能座舱、智能驾驶和汽车电子软件服务。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与中科创达在汽车软件、智能座舱和软件工程服务方面重叠；两者均受车厂项目周期、客户集中度和研发人员成本影响。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诚迈科技（300598）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主营嵌入式软件、移动智能终端软件、智能汽车及行业软件服务。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与中科创达在操作系统开发、智能终端软件和汽车软件方面重叠；诚迈科技更偏软件开发和技术服务，中科创达的平台化、操作系统授权和跨终端布局更完整。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四维图新（002405）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业务覆盖导航、地图、位置大数据、智能驾驶、车联网和芯片。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与中科创达在智能汽车软件和自动驾驶相关领域存在交集；四维图新偏地图、导航、位置数据和车联网，中科创达偏操作系统、智能座舱、系统中间件和跨芯片适配。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经纬恒润（688326）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提供汽车电子产品、汽车研发服务和高级别自动驾驶相关解决方案，覆盖软件、硬件和系统工程。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经纬恒润硬件及系统集成属性更强，中科创达偏操作系统、座舱、软件平台和端侧智能。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德赛西威（002920）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大型汽车电子Tier 1，核心业务包括智能座舱、智能驾驶和车联网产品。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德赛西威具备更强的硬件、制造和整车前装量产能力；中科创达更偏软件平台、操作系统、工具链和系统级软件能力，双方存在项目层面的竞争与合作可能。</w:t>
            </w:r>
          </w:p>
        </w:tc>
      </w:tr>
    </w:tbl>
    <w:p>
      <w:pPr>
        <w:spacing w:before="200"/>
      </w:pPr>
    </w:p>
    <w:p>
      <w:pPr>
        <w:spacing w:after="160" w:line="300"/>
      </w:pPr>
      <w:r>
        <w:rPr>
          <w:sz w:val="22"/>
          <w:szCs w:val="22"/>
        </w:rPr>
        <w:t xml:space="preserve">中科创达相较于光庭信息和诚迈科技，平台化操作系统、软件授权和跨终端布局更突出；相较于四维图新，差异主要在操作系统、智能座舱和系统中间件，而非地图和位置数据；相较于经纬恒润和德赛西威，公司硬件制造及系统集成属性较弱，但软件平台、操作系统和端侧智能属性更强。上述可比公司基于业务重叠度和产业链位置进行分析，不代表公司公告认定的唯一竞争对手名单。</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智能物联网业务收入增长较快但盈利能力偏低：2026年上半年该业务收入同比增长46.93%，毛利率仅14.36%；若硬件产品、模组和材料采购占比继续提升，可能继续拖累公司整体毛利率。</w:t>
      </w:r>
    </w:p>
    <w:p>
      <w:pPr>
        <w:pStyle w:val="ListParagraph"/>
        <w:numPr>
          <w:ilvl w:val="0"/>
          <w:numId w:val="2"/>
        </w:numPr>
        <w:spacing w:after="80" w:line="280"/>
      </w:pPr>
      <w:r>
        <w:rPr>
          <w:sz w:val="22"/>
          <w:szCs w:val="22"/>
        </w:rPr>
        <w:t xml:space="preserve">经营现金流与利润增长存在背离：2026年上半年经营活动产生的现金流量净额为-6357.27万元，公司解释主要由于备货增加；若存货、应收账款或项目结算继续占用资金，利润增长可能无法同步转化为现金流。</w:t>
      </w:r>
    </w:p>
    <w:p>
      <w:pPr>
        <w:pStyle w:val="ListParagraph"/>
        <w:numPr>
          <w:ilvl w:val="0"/>
          <w:numId w:val="2"/>
        </w:numPr>
        <w:spacing w:after="80" w:line="280"/>
      </w:pPr>
      <w:r>
        <w:rPr>
          <w:sz w:val="22"/>
          <w:szCs w:val="22"/>
        </w:rPr>
        <w:t xml:space="preserve">应收账款规模和客户集中度较高：截至2025年末应收账款27.40亿元，约相当于2025年归母净利润的6.09倍；前五大客户销售占比由2024年的18.65%升至2025年的27.27%，第一大客户占比10.46%，客户订单、车型量产、项目验收或回款变化可能影响收入确认和坏账风险。</w:t>
      </w:r>
    </w:p>
    <w:p>
      <w:pPr>
        <w:pStyle w:val="ListParagraph"/>
        <w:numPr>
          <w:ilvl w:val="0"/>
          <w:numId w:val="2"/>
        </w:numPr>
        <w:spacing w:after="80" w:line="280"/>
      </w:pPr>
      <w:r>
        <w:rPr>
          <w:sz w:val="22"/>
          <w:szCs w:val="22"/>
        </w:rPr>
        <w:t xml:space="preserve">对核心芯片及计算平台存在依赖：公司需要适配高通、英伟达、瑞萨、恩智浦等芯片及计算平台，在核心芯片和特定计算平台环节更接近成本接受方；若供应、适配节奏或采购成本发生不利变化，可能影响项目交付和毛利率。</w:t>
      </w:r>
    </w:p>
    <w:p>
      <w:pPr>
        <w:pStyle w:val="ListParagraph"/>
        <w:numPr>
          <w:ilvl w:val="0"/>
          <w:numId w:val="2"/>
        </w:numPr>
        <w:spacing w:after="80" w:line="280"/>
      </w:pPr>
      <w:r>
        <w:rPr>
          <w:sz w:val="22"/>
          <w:szCs w:val="22"/>
        </w:rPr>
        <w:t xml:space="preserve">控股子公司存在财务资助与担保风险：苏州畅行智驾2026年上半年净利润为-923.82万元、资产负债率为73.10%，公司获批提供不超过3亿元财务资助和不超过3亿元担保额度。虽然授权额度不等同于已实际使用或已实际形成担保债务，但子公司经营不及预期可能增加资金回收和或有负债压力。</w:t>
      </w:r>
    </w:p>
    <w:p>
      <w:pPr>
        <w:pStyle w:val="ListParagraph"/>
        <w:numPr>
          <w:ilvl w:val="0"/>
          <w:numId w:val="2"/>
        </w:numPr>
        <w:spacing w:after="80" w:line="280"/>
      </w:pPr>
      <w:r>
        <w:rPr>
          <w:sz w:val="22"/>
          <w:szCs w:val="22"/>
        </w:rPr>
        <w:t xml:space="preserve">AIOS、整车操作系统及机器人业务的商业化进度存在不确定性：机器人和行业AI业务仍处于扩张及产业化阶段，2025年年报未单独披露机器人收入；若相关平台、软件IP或整车操作系统未能按预期放量，公司较高研发投入和项目交付成本可能继续压制利润率。</w:t>
      </w:r>
    </w:p>
    <w:p>
      <w:pPr>
        <w:pStyle w:val="ListParagraph"/>
        <w:numPr>
          <w:ilvl w:val="0"/>
          <w:numId w:val="2"/>
        </w:numPr>
        <w:spacing w:after="80" w:line="280"/>
      </w:pPr>
      <w:r>
        <w:rPr>
          <w:sz w:val="22"/>
          <w:szCs w:val="22"/>
        </w:rPr>
        <w:t xml:space="preserve">估值和技术面均对业绩兑现提出较高要求：截至2026年9月11日股价54.45元，动态市盈率约47.7至48倍，股价低于短期均线，MACD偏弱且近期主力资金净流出；若业绩增长、毛利率改善或现金流修复不及市场预期，估值波动可能加大。</w:t>
      </w:r>
    </w:p>
    <w:p>
      <w:pPr>
        <w:pStyle w:val="ListParagraph"/>
        <w:numPr>
          <w:ilvl w:val="0"/>
          <w:numId w:val="2"/>
        </w:numPr>
        <w:spacing w:after="80" w:line="280"/>
      </w:pPr>
      <w:r>
        <w:rPr>
          <w:sz w:val="22"/>
          <w:szCs w:val="22"/>
        </w:rPr>
        <w:t xml:space="preserve">募投项目结项后的资金使用需持续观察：公司拟将整车操作系统、边缘计算站、XR及分布式算力网络等项目节余募集资金8.7132亿元永久补充流动资金；若资金实际用途对核心研发和汽车智能化业务的支持不足，可能影响相关长期业务的投入和兑现。</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已形成操作系统、端侧AI、中间件、工具链和系统工程交付相结合的业务体系，智能汽车、智能软件、智能物联网及机器人业务提供了多场景扩张空间。2026年上半年利润增速高于收入增速，说明费用率下降和经营杠杆改善开始显现；机构对2026年至2028年收入和归母净利润总体保持增长预期，但相关预测并非公司官方指引，且不同机构对远期业绩存在一定分歧。</w:t>
      </w:r>
    </w:p>
    <w:p>
      <w:pPr>
        <w:spacing w:after="160" w:line="300"/>
      </w:pPr>
      <w:r>
        <w:rPr>
          <w:sz w:val="22"/>
          <w:szCs w:val="22"/>
        </w:rPr>
        <w:t xml:space="preserve">后续核心变量包括智能汽车软件授权和整车操作系统的量产放量、AIOS及端侧智能商业化、智能物联网低毛利硬件占比变化，以及机器人和行业AI业务的产业化进度。公司拟将8.7132亿元节余募集资金永久补充流动资金，同时获批向亏损且资产负债率为73.10%的控股子公司提供不超过3亿元财务资助和不超过3亿元担保额度，资金使用、经营现金流、应收账款及存货变化将影响增长的可持续性和利润兑现质量。</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PDF — https://static.cninfo.com.cn/finalpage/enpage/300496_1.pdf?utm_source=openai</w:t>
      </w:r>
    </w:p>
    <w:p>
      <w:pPr>
        <w:spacing w:after="200"/>
      </w:pPr>
      <w:r>
        <w:rPr>
          <w:i/>
          <w:iCs/>
          <w:color w:val="595959"/>
          <w:sz w:val="18"/>
          <w:szCs w:val="18"/>
        </w:rPr>
        <w:t xml:space="preserve">https://disc.static.szse.cn/disc/disk03/finalpage/2026-04-22/06faffda-aa5c-4039-a391-7422b803742a.PDF — https://disc.static.szse.cn/disc/disk03/finalpage/2026-04-22/06faffda-aa5c-4039-a391-7422b803742a.PDF</w:t>
      </w:r>
    </w:p>
    <w:p>
      <w:pPr>
        <w:spacing w:after="200"/>
      </w:pPr>
      <w:r>
        <w:rPr>
          <w:i/>
          <w:iCs/>
          <w:color w:val="595959"/>
          <w:sz w:val="18"/>
          <w:szCs w:val="18"/>
        </w:rPr>
        <w:t xml:space="preserve">https://reportify-1252068037.cos.ap-beijing.myqcloud.com/media/production/3004969aa89c561a54dac22567272184ec95f1_20241011045140.pdf — https://reportify-1252068037.cos.ap-beijing.myqcloud.com/media/production/3004969aa89c561a54dac22567272184ec95f1_20241011045140.pdf</w:t>
      </w:r>
    </w:p>
    <w:p>
      <w:pPr>
        <w:spacing w:after="200"/>
      </w:pPr>
      <w:r>
        <w:rPr>
          <w:i/>
          <w:iCs/>
          <w:color w:val="595959"/>
          <w:sz w:val="18"/>
          <w:szCs w:val="18"/>
        </w:rPr>
        <w:t xml:space="preserve">中科创达: 2022年年度报告_股票频道_证券之星 — https://stock.stockstar.com/notice/SN2023022800000145.shtml?utm_source=openai</w:t>
      </w:r>
    </w:p>
    <w:p>
      <w:pPr>
        <w:spacing w:after="200"/>
      </w:pPr>
      <w:r>
        <w:rPr>
          <w:i/>
          <w:iCs/>
          <w:color w:val="595959"/>
          <w:sz w:val="18"/>
          <w:szCs w:val="18"/>
        </w:rPr>
        <w:t xml:space="preserve">中科创达(300496)_公司公告_中科创达：2024年年度报告新浪财经_新浪网 — https://money.finance.sina.com.cn/corp/view/vCB_AllBulletinDetail.php?id=10937437&amp;stockid=300496&amp;utm_source=openai</w:t>
      </w:r>
    </w:p>
    <w:p>
      <w:pPr>
        <w:spacing w:after="200"/>
      </w:pPr>
      <w:r>
        <w:rPr>
          <w:i/>
          <w:iCs/>
          <w:color w:val="595959"/>
          <w:sz w:val="18"/>
          <w:szCs w:val="18"/>
        </w:rPr>
        <w:t xml:space="preserve">2024年中国战略性新兴产业之——智能网联汽车产业全景图谱(附产业规模、区域分布、企业布局和技术路线等)_行业研究报告 - 前瞻网 — https://www.qianzhan.com/analyst/detail/220/240520-0ecb39d6.html?utm_source=openai</w:t>
      </w:r>
    </w:p>
    <w:p>
      <w:pPr>
        <w:spacing w:after="200"/>
      </w:pPr>
      <w:r>
        <w:rPr>
          <w:i/>
          <w:iCs/>
          <w:color w:val="595959"/>
          <w:sz w:val="18"/>
          <w:szCs w:val="18"/>
        </w:rPr>
        <w:t xml:space="preserve">光庭信息(301221)_公司公告_1-1招股说明书（申报稿）新浪财经_新浪网 — https://vip.stock.finance.sina.com.cn/corp/view/vCB_AllBulletinDetail.php?id=6826168&amp;stockid=301221&amp;utm_source=openai</w:t>
      </w:r>
    </w:p>
    <w:p>
      <w:pPr>
        <w:spacing w:after="200"/>
      </w:pPr>
      <w:r>
        <w:rPr>
          <w:i/>
          <w:iCs/>
          <w:color w:val="595959"/>
          <w:sz w:val="18"/>
          <w:szCs w:val="18"/>
        </w:rPr>
        <w:t xml:space="preserve">深交所主题投教活动走进北京 中科创达：整车操作系统等将进入投资回报期 — https://www.stcn.com/article/detail/1156732.html?utm_source=openai</w:t>
      </w:r>
    </w:p>
    <w:p>
      <w:pPr>
        <w:spacing w:after="200"/>
      </w:pPr>
      <w:r>
        <w:rPr>
          <w:i/>
          <w:iCs/>
          <w:color w:val="595959"/>
          <w:sz w:val="18"/>
          <w:szCs w:val="18"/>
        </w:rPr>
        <w:t xml:space="preserve">中科创达(300496)_公司公告_中科创达：2026年半年度报告摘要新浪财经_新浪网 — https://money.finance.sina.com.cn/corp/view/vCB_AllBulletinDetail.php?id=12538267&amp;stockid=300496&amp;utm_source=openai</w:t>
      </w:r>
    </w:p>
    <w:p>
      <w:pPr>
        <w:spacing w:after="200"/>
      </w:pPr>
      <w:r>
        <w:rPr>
          <w:i/>
          <w:iCs/>
          <w:color w:val="595959"/>
          <w:sz w:val="18"/>
          <w:szCs w:val="18"/>
        </w:rPr>
        <w:t xml:space="preserve">中科创达(300496) 盈利预测_F10_同花顺金融服务网 — https://basic.10jqka.com.cn/300496/worth.html</w:t>
      </w:r>
    </w:p>
    <w:p>
      <w:pPr>
        <w:spacing w:after="200"/>
      </w:pPr>
      <w:r>
        <w:rPr>
          <w:i/>
          <w:iCs/>
          <w:color w:val="595959"/>
          <w:sz w:val="18"/>
          <w:szCs w:val="18"/>
        </w:rPr>
        <w:t xml:space="preserve">中科创达(300496)_公司公告_中科创达：2026年半年度报告新浪财经_新浪网 — https://money.finance.sina.com.cn/corp/view/vCB_AllBulletinDetail.php?id=12538231&amp;stockid=300496&amp;utm_source=openai</w:t>
      </w:r>
    </w:p>
    <w:p>
      <w:pPr>
        <w:spacing w:after="200"/>
      </w:pPr>
      <w:r>
        <w:rPr>
          <w:i/>
          <w:iCs/>
          <w:color w:val="595959"/>
          <w:sz w:val="18"/>
          <w:szCs w:val="18"/>
        </w:rPr>
        <w:t xml:space="preserve">https://static.cninfo.com.cn/finalpage/2026-04-22/1225141001.PDF — https://static.cninfo.com.cn/finalpage/2026-04-22/1225141001.PDF</w:t>
      </w:r>
    </w:p>
    <w:p>
      <w:pPr>
        <w:spacing w:after="200"/>
      </w:pPr>
      <w:r>
        <w:rPr>
          <w:i/>
          <w:iCs/>
          <w:color w:val="595959"/>
          <w:sz w:val="18"/>
          <w:szCs w:val="18"/>
        </w:rPr>
        <w:t xml:space="preserve">中科创达(300496) 盈利预测_F10_同花顺金融服务网 — https://basic.10jqka.com.cn/300496/worth.html?utm_source=openai</w:t>
      </w:r>
    </w:p>
    <w:p>
      <w:pPr>
        <w:spacing w:after="200"/>
      </w:pPr>
      <w:r>
        <w:rPr>
          <w:i/>
          <w:iCs/>
          <w:color w:val="595959"/>
          <w:sz w:val="18"/>
          <w:szCs w:val="18"/>
        </w:rPr>
        <w:t xml:space="preserve">盈利预测 — https://webf10.gw.com.cn/SZ/B16/SZ300496_B16.html</w:t>
      </w:r>
    </w:p>
    <w:p>
      <w:pPr>
        <w:spacing w:after="200"/>
      </w:pPr>
      <w:r>
        <w:rPr>
          <w:i/>
          <w:iCs/>
          <w:color w:val="595959"/>
          <w:sz w:val="18"/>
          <w:szCs w:val="18"/>
        </w:rPr>
        <w:t xml:space="preserve">盈利预测 — https://webf10.gw.com.cn/SZ/B16/SZ300496_B16.html?utm_source=openai</w:t>
      </w:r>
    </w:p>
    <w:p>
      <w:pPr>
        <w:spacing w:after="200"/>
      </w:pPr>
      <w:r>
        <w:rPr>
          <w:i/>
          <w:iCs/>
          <w:color w:val="595959"/>
          <w:sz w:val="18"/>
          <w:szCs w:val="18"/>
        </w:rPr>
        <w:t xml:space="preserve">中科创达(300496)：AIOS战略升级 多终端智能化加速落地__新浪财经_新浪网 — https://stock.finance.sina.com.cn/stock/go.php/vReport_Show/kind/search/rptid/841341661351/index.phtml?utm_source=openai</w:t>
      </w:r>
    </w:p>
    <w:p>
      <w:pPr>
        <w:spacing w:after="200"/>
      </w:pPr>
      <w:r>
        <w:rPr>
          <w:i/>
          <w:iCs/>
          <w:color w:val="595959"/>
          <w:sz w:val="18"/>
          <w:szCs w:val="18"/>
        </w:rPr>
        <w:t xml:space="preserve">中科创达 (300496)股票预测和分析师评级 - 富途牛牛 — https://www.futunn.com/stock/300496-SZ/forecast?utm_source=openai</w:t>
      </w:r>
    </w:p>
    <w:p>
      <w:pPr>
        <w:spacing w:after="200"/>
      </w:pPr>
      <w:r>
        <w:rPr>
          <w:i/>
          <w:iCs/>
          <w:color w:val="595959"/>
          <w:sz w:val="18"/>
          <w:szCs w:val="18"/>
        </w:rPr>
        <w:t xml:space="preserve">中科创达(300496)股票历史数据:历史行情,价格,走势图表_英为财情Investing.com — https://cn.investing.com/equities/thunder-software-tech-historical-data?utm_source=openai</w:t>
      </w:r>
    </w:p>
    <w:p>
      <w:pPr>
        <w:spacing w:after="200"/>
      </w:pPr>
      <w:r>
        <w:rPr>
          <w:i/>
          <w:iCs/>
          <w:color w:val="595959"/>
          <w:sz w:val="18"/>
          <w:szCs w:val="18"/>
        </w:rPr>
        <w:t xml:space="preserve">中科创达(300496)市盈率|估值|基本面 - 理杏仁 — https://www.lixinger.com/equity/company/detail/sz/300496/300496/fundamental/valuation/pe-ttm</w:t>
      </w:r>
    </w:p>
    <w:p>
      <w:pPr>
        <w:spacing w:after="200"/>
      </w:pPr>
      <w:r>
        <w:rPr>
          <w:i/>
          <w:iCs/>
          <w:color w:val="595959"/>
          <w:sz w:val="18"/>
          <w:szCs w:val="18"/>
        </w:rPr>
        <w:t xml:space="preserve">中科创达(300496)_公司公告_中科创达：关于子公司与专业机构共同投资的进展公告新浪财经_新浪网 — https://vip.stock.finance.sina.com.cn/corp/view/vCB_AllBulletinDetail.php?id=12598050&amp;stockid=300496</w:t>
      </w:r>
    </w:p>
    <w:p>
      <w:pPr>
        <w:spacing w:after="200"/>
      </w:pPr>
      <w:r>
        <w:rPr>
          <w:i/>
          <w:iCs/>
          <w:color w:val="595959"/>
          <w:sz w:val="18"/>
          <w:szCs w:val="18"/>
        </w:rPr>
        <w:t xml:space="preserve">中科创达(300496)_公司公告_中科创达：2026年第一次临时股东会决议公告新浪财经_新浪网 — https://vip.stock.finance.sina.com.cn/corp/view/vCB_AllBulletinDetail.php?id=12595489&amp;stockid=300496</w:t>
      </w:r>
    </w:p>
    <w:p>
      <w:pPr>
        <w:spacing w:after="200"/>
      </w:pPr>
      <w:r>
        <w:rPr>
          <w:i/>
          <w:iCs/>
          <w:color w:val="595959"/>
          <w:sz w:val="18"/>
          <w:szCs w:val="18"/>
        </w:rPr>
        <w:t xml:space="preserve">中科创达(300496)_公司公告_中科创达：关于2022年向特定对象发行股票募集资金投资项目结项并将节余募集资金永久补充流动资金的公告新浪财经_新浪网 — https://vip.stock.finance.sina.com.cn/corp/view/vCB_AllBulletinDetail.php?id=12538268&amp;stockid=300496</w:t>
      </w:r>
    </w:p>
    <w:p>
      <w:pPr>
        <w:spacing w:after="200"/>
      </w:pPr>
      <w:r>
        <w:rPr>
          <w:i/>
          <w:iCs/>
          <w:color w:val="595959"/>
          <w:sz w:val="18"/>
          <w:szCs w:val="18"/>
        </w:rPr>
        <w:t xml:space="preserve">中科创达(300496)_公司公告_中科创达：关于向控股子公司提供财务资助的公告新浪财经_新浪网 — https://vip.stock.finance.sina.com.cn/corp/view/vCB_AllBulletinDetail.php?id=12538236&amp;stockid=300496</w:t>
      </w:r>
    </w:p>
    <w:p>
      <w:pPr>
        <w:spacing w:after="200"/>
      </w:pPr>
      <w:r>
        <w:rPr>
          <w:i/>
          <w:iCs/>
          <w:color w:val="595959"/>
          <w:sz w:val="18"/>
          <w:szCs w:val="18"/>
        </w:rPr>
        <w:t xml:space="preserve">中科创达(300496)_公司公告_中科创达：关于为控股子公司提供担保额度预计的公告新浪财经_新浪网 — https://vip.stock.finance.sina.com.cn/corp/view/vCB_AllBulletinDetail.php?id=12538235&amp;stockid=300496</w:t>
      </w:r>
    </w:p>
    <w:p>
      <w:pPr>
        <w:spacing w:after="200"/>
      </w:pPr>
      <w:r>
        <w:rPr>
          <w:i/>
          <w:iCs/>
          <w:color w:val="595959"/>
          <w:sz w:val="18"/>
          <w:szCs w:val="18"/>
        </w:rPr>
        <w:t xml:space="preserve">证券代码：300496　　证券简称：中科创达　　公告编号：2026-040 — https://static.cninfo.com.cn/finalpage/2026-07-18/1225431395.pdf?utm_source=openai</w:t>
      </w:r>
    </w:p>
    <w:p>
      <w:pPr>
        <w:spacing w:after="200"/>
      </w:pPr>
      <w:r>
        <w:rPr>
          <w:i/>
          <w:iCs/>
          <w:color w:val="595959"/>
          <w:sz w:val="18"/>
          <w:szCs w:val="18"/>
        </w:rPr>
        <w:t xml:space="preserve">证券代码：300496　　证券简称：中科创达　　公告编号：2026-033 — https://static.cninfo.com.cn/finalpage/2026-05-25/1225329266.PDF?utm_source=openai</w:t>
      </w:r>
    </w:p>
    <w:p>
      <w:pPr>
        <w:spacing w:after="200"/>
      </w:pPr>
      <w:r>
        <w:rPr>
          <w:i/>
          <w:iCs/>
          <w:color w:val="595959"/>
          <w:sz w:val="18"/>
          <w:szCs w:val="18"/>
        </w:rPr>
        <w:t xml:space="preserve">中科创达(300496)_公司公告_中科创达：关于控股股东部分股份质押及解质押的公告新浪财经_新浪网 — https://vip.stock.finance.sina.com.cn/corp/view/vCB_AllBulletinDetail.php?id=12394607&amp;stockid=300496</w:t>
      </w:r>
    </w:p>
    <w:p>
      <w:pPr>
        <w:spacing w:after="200"/>
      </w:pPr>
      <w:r>
        <w:rPr>
          <w:i/>
          <w:iCs/>
          <w:color w:val="595959"/>
          <w:sz w:val="18"/>
          <w:szCs w:val="18"/>
        </w:rPr>
        <w:t xml:space="preserve">证券代码：300496　　证券简称：中科创达　　公告编号：2026-042 — https://static.cninfo.com.cn/finalpage/2026-08-03/1225454794.PDF?utm_source=openai</w:t>
      </w:r>
    </w:p>
    <w:p>
      <w:pPr>
        <w:spacing w:after="200"/>
      </w:pPr>
      <w:r>
        <w:rPr>
          <w:i/>
          <w:iCs/>
          <w:color w:val="595959"/>
          <w:sz w:val="18"/>
          <w:szCs w:val="18"/>
        </w:rPr>
        <w:t xml:space="preserve">中科创达(300496)股票历史数据:历史行情,价格,走势图表_英为财情Investing.com — https://cn.investing.com/equities/thunder-software-tech-historical-data</w:t>
      </w:r>
    </w:p>
    <w:p>
      <w:pPr>
        <w:spacing w:after="200"/>
      </w:pPr>
      <w:r>
        <w:rPr>
          <w:i/>
          <w:iCs/>
          <w:color w:val="595959"/>
          <w:sz w:val="18"/>
          <w:szCs w:val="18"/>
        </w:rPr>
        <w:t xml:space="preserve">中科创达(300496.SZ) 股票行情_历史数据_主力资金 - 大波浪数据 — https://www.yyqyx.com/s/300496.SZ</w:t>
      </w:r>
    </w:p>
    <w:p>
      <w:pPr>
        <w:spacing w:after="200"/>
      </w:pPr>
      <w:r>
        <w:rPr>
          <w:i/>
          <w:iCs/>
          <w:color w:val="595959"/>
          <w:sz w:val="18"/>
          <w:szCs w:val="18"/>
        </w:rPr>
        <w:t xml:space="preserve">中科创达 (300496.SZ) - 基本数据 Basic Information — https://www.aastocks.com/sc/cnhk/analysis/company-fundamental/basic-information?shsymbol=300496&amp;utm_source=openai</w:t>
      </w:r>
    </w:p>
    <w:p>
      <w:pPr>
        <w:spacing w:after="200"/>
      </w:pPr>
      <w:r>
        <w:rPr>
          <w:i/>
          <w:iCs/>
          <w:color w:val="595959"/>
          <w:sz w:val="18"/>
          <w:szCs w:val="18"/>
        </w:rPr>
        <w:t xml:space="preserve">中科创达(300496.SZ) 股票行情_历史数据_主力资金 - 大波浪数据 — https://www.yyqyx.com/s/300496.SZ?utm_source=openai</w:t>
      </w:r>
    </w:p>
    <w:p>
      <w:pPr>
        <w:spacing w:after="200"/>
      </w:pPr>
      <w:r>
        <w:rPr>
          <w:i/>
          <w:iCs/>
          <w:color w:val="595959"/>
          <w:sz w:val="18"/>
          <w:szCs w:val="18"/>
        </w:rPr>
        <w:t xml:space="preserve">中科创达(300496)_资金流向_证券之星 — https://stock.quote.stockstar.com/capital_300496.shtml?utm_source=openai</w:t>
      </w:r>
    </w:p>
    <w:p>
      <w:pPr>
        <w:spacing w:after="200"/>
      </w:pPr>
      <w:r>
        <w:rPr>
          <w:i/>
          <w:iCs/>
          <w:color w:val="595959"/>
          <w:sz w:val="18"/>
          <w:szCs w:val="18"/>
        </w:rPr>
        <w:t xml:space="preserve">中科创达 (300496) - 历史交易数据 | 打板客网 — https://dabanke.com/hangqing-300496.html?utm_source=openai</w:t>
      </w:r>
    </w:p>
    <w:p>
      <w:pPr>
        <w:spacing w:after="200"/>
      </w:pPr>
      <w:r>
        <w:rPr>
          <w:i/>
          <w:iCs/>
          <w:color w:val="595959"/>
          <w:sz w:val="18"/>
          <w:szCs w:val="18"/>
        </w:rPr>
        <w:t xml:space="preserve">本报告由AI基于公开渠道信息自动检索、整理并生成，信息截至 技术分析基准为2026年9月11日收盘数据；2026年9月14日数据仅为盘中或延迟行情，未采用其作为收盘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2026-09-14T04:20:35.074Z</dcterms:created>
  <dcterms:modified xsi:type="dcterms:W3CDTF">2026-09-14T04:20:35.074Z</dcterms:modified>
</cp:coreProperties>
</file>

<file path=docProps/custom.xml><?xml version="1.0" encoding="utf-8"?>
<Properties xmlns="http://schemas.openxmlformats.org/officeDocument/2006/custom-properties" xmlns:vt="http://schemas.openxmlformats.org/officeDocument/2006/docPropsVTypes"/>
</file>