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广州高澜节能技术股份有限公司（高澜股份） (300499)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行业：工业热管理及液冷系统</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截至2026年9月11日收盘；均线、MACD及RSI部分指标主要对应2026年9月10日，股东数据截至2026年6月30日，部分技术指标为基于历史收盘价的辅助测算。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高澜股份2026年上半年营业收入4.94亿元，同比增长18.16%；归母净利润2573.26万元，同比增长12.22%；扣非归母净利润2459.10万元，同比增长37.86%，但经营活动现金流净额转为-2636.46万元，应收账款由2025年末的4.04亿元增至5.00亿元，存货由5.46亿元增至6.67亿元，业绩增长与营运资金压力并存。同期投资收益2054.12万元，占利润总额约68.14%，归母净利润仍较大程度受到联营企业东莞硅翔投资收益影响。</w:t>
      </w:r>
    </w:p>
    <w:p>
      <w:pPr>
        <w:spacing w:after="160" w:line="300"/>
      </w:pPr>
      <w:r>
        <w:rPr>
          <w:sz w:val="22"/>
          <w:szCs w:val="22"/>
        </w:rPr>
        <w:t xml:space="preserve">公司主营工业热管理及液冷系统，2025年大功率电力电子热管理产品收入5.73亿元，同比增长161.75%，占收入比重升至57.94%，毛利率35.04%，是综合毛利率回升至28.94%的主要驱动；2026年上半年该业务收入同比下降3.69%，但毛利率提升至37.72%。高功率密度装置热管理产品2026年上半年收入同比增长53.41%，成为收入增长的主要来源，但毛利率仅11.83%，低于大功率电力电子热管理及工程运维业务，业务放量对利润率的提升仍有限。</w:t>
      </w:r>
    </w:p>
    <w:p>
      <w:pPr>
        <w:spacing w:after="160" w:line="300"/>
      </w:pPr>
      <w:r>
        <w:rPr>
          <w:sz w:val="22"/>
          <w:szCs w:val="22"/>
        </w:rPr>
        <w:t xml:space="preserve">公司近期拟以约3.73亿元的交易规模转让所持东莞硅翔16.9759%股权，相关交易已获深交所并购重组审核委员会审议通过，但尚需中国证监会注册批复并完成交割，最终交易价格、时间及会计处理仍存在不确定性。公司同时放弃高澜创新科技增资优先认购权，增资完成后持股比例由100%降至60%，有助于补充子公司资本金并支持液冷业务拓展，但上市公司未来可享有的子公司利润比例将相应下降。</w:t>
      </w:r>
    </w:p>
    <w:p>
      <w:pPr>
        <w:spacing w:after="160" w:line="300"/>
      </w:pPr>
      <w:r>
        <w:rPr>
          <w:sz w:val="22"/>
          <w:szCs w:val="22"/>
        </w:rPr>
        <w:t xml:space="preserve">截至2026年9月11日，公司股价34.90元，总市值约106.53亿元，TTM市盈率约341.62倍、市净率约7.70倍，估值对未来利润快速增长的依赖较高。股价仍高于MA50、MA100和MA200，MACD保持正值，但近期经历快速上涨后出现放量下跌，换手率16.62%、主力资金净流出约2.23亿元，短线波动和资金分歧明显加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300499.SZ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高澜股份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广州市高新技术产业开发区科学城南云五路3号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工业热管理系统的研发、设计、生产和销售，技术路线包括纯水冷却、液冷、冷板式液冷、浸没式液冷及配套控制系统，应用于高压直流输电、柔性交流输配电、大功率电气传动、数据中心和储能等场景。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9.89亿元，同比增长43.09%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2,838.31万元，同比增长156.40%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2025年扣除非经常性损益后的归母净利润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5,578.18万元，同比增长194.43%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2025年销售量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1,134.16套，按标准冷却容量值折算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2025年生产量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1,144.94套，按标准冷却容量值折算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2025年库存量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823.08套，按标准冷却容量值折算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技术与工程资源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截至2024年12月31日，公司及子公司拥有专利364项，其中发明专利74项，软件著作权145项；累计参与9项国家标准、8项行业标准和28项团体标准的起草或修订，并拥有CNAS认证热管理实验室。</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资源属性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公司不是矿产、能源或原材料资源型企业，不存在矿山、油气田或其他可比意义上的资源储备；其核心资源主要体现为液冷技术、工程项目经验、客户认证、知识产权、生产制造能力和海外服务网络。</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大功率电力电子热管理产品：包括直流输电换流阀纯水冷却设备、柔性交流输配电晶闸管阀纯水冷却设备、大功率电气传动变频器及电机纯水冷却设备、隔直装置相关冷却产品等。2025年收入5.73亿元，占营业收入57.94%，同比增长161.75%，毛利率35.04%。</w:t>
      </w:r>
    </w:p>
    <w:p>
      <w:pPr>
        <w:pStyle w:val="ListParagraph"/>
        <w:numPr>
          <w:ilvl w:val="0"/>
          <w:numId w:val="2"/>
        </w:numPr>
        <w:spacing w:after="80" w:line="280"/>
      </w:pPr>
      <w:r>
        <w:rPr>
          <w:sz w:val="22"/>
          <w:szCs w:val="22"/>
        </w:rPr>
        <w:t xml:space="preserve">高功率密度装置热管理产品：包括数据中心液冷产品、冷板式液冷系统、浸没式液冷系统、液冷CDU、集装箱式算力中心液冷设备及部分储能液冷产品。2025年收入2.64亿元，占营业收入26.73%，同比下降19.44%，毛利率13.10%。</w:t>
      </w:r>
    </w:p>
    <w:p>
      <w:pPr>
        <w:pStyle w:val="ListParagraph"/>
        <w:numPr>
          <w:ilvl w:val="0"/>
          <w:numId w:val="2"/>
        </w:numPr>
        <w:spacing w:after="80" w:line="280"/>
      </w:pPr>
      <w:r>
        <w:rPr>
          <w:sz w:val="22"/>
          <w:szCs w:val="22"/>
        </w:rPr>
        <w:t xml:space="preserve">工程运维服务：包括热管理设备的售后巡检、维修、技术改造、备品备件及工程服务等。2025年收入1.15亿元，占营业收入11.58%，毛利率39.83%。</w:t>
      </w:r>
    </w:p>
    <w:p>
      <w:pPr>
        <w:pStyle w:val="ListParagraph"/>
        <w:numPr>
          <w:ilvl w:val="0"/>
          <w:numId w:val="2"/>
        </w:numPr>
        <w:spacing w:after="80" w:line="280"/>
      </w:pPr>
      <w:r>
        <w:rPr>
          <w:sz w:val="22"/>
          <w:szCs w:val="22"/>
        </w:rPr>
        <w:t xml:space="preserve">其他业务：2025年收入3,713.89万元，占营业收入3.75%，毛利率14.00%。</w:t>
      </w:r>
    </w:p>
    <w:p>
      <w:pPr>
        <w:pStyle w:val="ListParagraph"/>
        <w:numPr>
          <w:ilvl w:val="0"/>
          <w:numId w:val="2"/>
        </w:numPr>
        <w:spacing w:after="80" w:line="280"/>
      </w:pPr>
      <w:r>
        <w:rPr>
          <w:sz w:val="22"/>
          <w:szCs w:val="22"/>
        </w:rPr>
        <w:t xml:space="preserve">重点发展方向：截至2025年，公司重点聚焦“电力电子热管理”和“数据中心热管理”两大核心赛道，同时保留储能、工程运维及其他热管理业务。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高澜股份位于高功率电气设备和算力设备产业链的中游热管理环节，属于技术和工程服务驱动的专业设备供应商。公司以项目制、定制化系统集成为主，向电网、电力设备厂商、数据中心、储能及新能源客户提供热管理设备和运维服务。</w:t>
      </w:r>
    </w:p>
    <w:p>
      <w:pPr>
        <w:pStyle w:val="ListParagraph"/>
        <w:numPr>
          <w:ilvl w:val="0"/>
          <w:numId w:val="2"/>
        </w:numPr>
        <w:spacing w:after="80" w:line="280"/>
      </w:pPr>
      <w:r>
        <w:rPr>
          <w:sz w:val="22"/>
          <w:szCs w:val="22"/>
        </w:rPr>
        <w:t xml:space="preserve">实际采购和使用的上游品类主要包括金属结构及换热材料，如不锈钢管道、金属换热器、泵体、阀体及相关机械结构件；塑料及绝缘管路材料，如PVDF管件、配水管路及相关耐腐蚀部件；制冷、换热及流体控制部件，如泵、阀、过滤器、传感器和冷却液循环部件；以及PLC、控制器、仪表、通信模块和电气元器件等控制系统及电气部件。</w:t>
      </w:r>
    </w:p>
    <w:p>
      <w:pPr>
        <w:pStyle w:val="ListParagraph"/>
        <w:numPr>
          <w:ilvl w:val="0"/>
          <w:numId w:val="2"/>
        </w:numPr>
        <w:spacing w:after="80" w:line="280"/>
      </w:pPr>
      <w:r>
        <w:rPr>
          <w:sz w:val="22"/>
          <w:szCs w:val="22"/>
        </w:rPr>
        <w:t xml:space="preserve">公司还涉及外协加工、运输、安装及工程服务。年报披露了不锈钢管道超声波洁净、PVDF管件注塑、自主可控PLC、配水管路及液冷控制系统等工艺和产品方向。</w:t>
      </w:r>
    </w:p>
    <w:p>
      <w:pPr>
        <w:pStyle w:val="ListParagraph"/>
        <w:numPr>
          <w:ilvl w:val="0"/>
          <w:numId w:val="2"/>
        </w:numPr>
        <w:spacing w:after="80" w:line="280"/>
      </w:pPr>
      <w:r>
        <w:rPr>
          <w:sz w:val="22"/>
          <w:szCs w:val="22"/>
        </w:rPr>
        <w:t xml:space="preserve">公司未披露完整采购品类占比，也未披露铜、铝、不锈钢、泵阀或控制器分别占成本的比例；上述分类属于依据产品和制造工艺披露作出的产业链归纳，不能替代正式成本明细。</w:t>
      </w:r>
    </w:p>
    <w:p>
      <w:pPr>
        <w:pStyle w:val="ListParagraph"/>
        <w:numPr>
          <w:ilvl w:val="0"/>
          <w:numId w:val="2"/>
        </w:numPr>
        <w:spacing w:after="80" w:line="280"/>
      </w:pPr>
      <w:r>
        <w:rPr>
          <w:sz w:val="22"/>
          <w:szCs w:val="22"/>
        </w:rPr>
        <w:t xml:space="preserve">2025年前五大供应商采购金额合计1.36亿元，占年度采购总额19.80%。公司未披露前五大供应商名称，因此无法进一步判断关键泵阀、控制器或换热器供应商是否存在技术锁定或隐性集中。</w:t>
      </w:r>
    </w:p>
    <w:p>
      <w:pPr>
        <w:pStyle w:val="ListParagraph"/>
        <w:numPr>
          <w:ilvl w:val="0"/>
          <w:numId w:val="2"/>
        </w:numPr>
        <w:spacing w:after="80" w:line="280"/>
      </w:pPr>
      <w:r>
        <w:rPr>
          <w:sz w:val="22"/>
          <w:szCs w:val="22"/>
        </w:rPr>
        <w:t xml:space="preserve">供应商集中度数据为2025年度口径，研究纪要未提供其他年度可交叉比较的数据。按该口径，前五大供应商集中度低于前五大客户，初步反映公司上游采购较为分散，但单一供应商依赖度和关键品类集中度仍不确定。</w:t>
      </w:r>
    </w:p>
    <w:p>
      <w:pPr>
        <w:pStyle w:val="ListParagraph"/>
        <w:numPr>
          <w:ilvl w:val="0"/>
          <w:numId w:val="2"/>
        </w:numPr>
        <w:spacing w:after="80" w:line="280"/>
      </w:pPr>
      <w:r>
        <w:rPr>
          <w:sz w:val="22"/>
          <w:szCs w:val="22"/>
        </w:rPr>
        <w:t xml:space="preserve">公司对钢材、塑料、电子元器件和外协加工环节总体更接近部分价格接受者；对标准化金属材料、通用泵阀和电子元器件本身的定价权有限，成本控制主要依赖设计优化、模块化生产、供应链管理和规模采购。</w:t>
      </w:r>
    </w:p>
    <w:p>
      <w:pPr>
        <w:pStyle w:val="ListParagraph"/>
        <w:numPr>
          <w:ilvl w:val="0"/>
          <w:numId w:val="2"/>
        </w:numPr>
        <w:spacing w:after="80" w:line="280"/>
      </w:pPr>
      <w:r>
        <w:rPr>
          <w:sz w:val="22"/>
          <w:szCs w:val="22"/>
        </w:rPr>
        <w:t xml:space="preserve">主要下游客户包括电网及电力工程客户，如国家电网、南方电网、中电普瑞、许继电气、西安西电、特变电工和思源电气等；国内外电力设备厂商，如日立能源、GE、Siemens、ABB、东方电气和上海电气等；新能源及储能客户，如三峡新能源、宁德时代等；以及数据中心、互联网和通信客户，如字节跳动、阿里巴巴、腾讯、万国数据、百度、浪潮、中兴、新华三、世纪互联和维谛技术等。</w:t>
      </w:r>
    </w:p>
    <w:p>
      <w:pPr>
        <w:pStyle w:val="ListParagraph"/>
        <w:numPr>
          <w:ilvl w:val="0"/>
          <w:numId w:val="2"/>
        </w:numPr>
        <w:spacing w:after="80" w:line="280"/>
      </w:pPr>
      <w:r>
        <w:rPr>
          <w:sz w:val="22"/>
          <w:szCs w:val="22"/>
        </w:rPr>
        <w:t xml:space="preserve">公司披露的客户名单较为广泛，但未将具体客户与具体产品收入逐一对应，不能据此判断单个客户的实际收入贡献。</w:t>
      </w:r>
    </w:p>
    <w:p>
      <w:pPr>
        <w:pStyle w:val="ListParagraph"/>
        <w:numPr>
          <w:ilvl w:val="0"/>
          <w:numId w:val="2"/>
        </w:numPr>
        <w:spacing w:after="80" w:line="280"/>
      </w:pPr>
      <w:r>
        <w:rPr>
          <w:sz w:val="22"/>
          <w:szCs w:val="22"/>
        </w:rPr>
        <w:t xml:space="preserve">2025年前五大客户销售金额5.97亿元，占年度销售总额60.31%；第一大客户占19.71%，第二大客户占13.62%。上述数据为2025年度口径，公司未披露客户名称，无法判断前五大客户分别属于电网、数据中心还是其他行业；该集中度数据来源于公司年报，研究纪要未提供其他年度数据进行交叉核实，具体以最新年报为准。</w:t>
      </w:r>
    </w:p>
    <w:p>
      <w:pPr>
        <w:pStyle w:val="ListParagraph"/>
        <w:numPr>
          <w:ilvl w:val="0"/>
          <w:numId w:val="2"/>
        </w:numPr>
        <w:spacing w:after="80" w:line="280"/>
      </w:pPr>
      <w:r>
        <w:rPr>
          <w:sz w:val="22"/>
          <w:szCs w:val="22"/>
        </w:rPr>
        <w:t xml:space="preserve">电网及特高压项目客户通常规模大、项目周期长，且在技术质量认证、商务条款、付款节奏和项目验收方面具有较强议价能力；但供应商进入合格供应商体系并形成工程业绩后，客户替换成本也较高。</w:t>
      </w:r>
    </w:p>
    <w:p>
      <w:pPr>
        <w:pStyle w:val="ListParagraph"/>
        <w:numPr>
          <w:ilvl w:val="0"/>
          <w:numId w:val="2"/>
        </w:numPr>
        <w:spacing w:after="80" w:line="280"/>
      </w:pPr>
      <w:r>
        <w:rPr>
          <w:sz w:val="22"/>
          <w:szCs w:val="22"/>
        </w:rPr>
        <w:t xml:space="preserve">数据中心和储能客户更加重视交付效率、系统能耗、可靠性和整体成本，液冷系统容易出现定制化比价和项目制竞争。公司技术方案、项目经验和可靠性认证形成一定差异化，但该业务当前毛利率低于大功率电力电子热管理产品，说明仍处于投入和竞争阶段。</w:t>
      </w:r>
    </w:p>
    <w:p>
      <w:pPr>
        <w:pStyle w:val="ListParagraph"/>
        <w:numPr>
          <w:ilvl w:val="0"/>
          <w:numId w:val="2"/>
        </w:numPr>
        <w:spacing w:after="80" w:line="280"/>
      </w:pPr>
      <w:r>
        <w:rPr>
          <w:sz w:val="22"/>
          <w:szCs w:val="22"/>
        </w:rPr>
        <w:t xml:space="preserve">公司2025年大功率电力电子热管理产品收入占比57.94%，毛利率35.04%；高功率密度装置热管理产品收入占比26.73%，毛利率13.10%；工程运维服务毛利率39.83%。下游客户结构和产品结构共同影响公司盈利水平。</w:t>
      </w:r>
    </w:p>
    <w:p>
      <w:pPr>
        <w:pStyle w:val="ListParagraph"/>
        <w:numPr>
          <w:ilvl w:val="0"/>
          <w:numId w:val="2"/>
        </w:numPr>
        <w:spacing w:after="80" w:line="280"/>
      </w:pPr>
      <w:r>
        <w:rPr>
          <w:sz w:val="22"/>
          <w:szCs w:val="22"/>
        </w:rPr>
        <w:t xml:space="preserve">截至2025年12月31日，公司应收账款账面余额40.44亿元，占当年营业收入约40.9%，占总资产18.32%；存货账面价值5.46亿元，占营业收入约55.2%，占总资产24.73%。公司称应收账款规模较大与分阶段收款、客户信用期、客户付款审批流程较长、验收交付进度及质保金等因素有关；存货增加主要由于期末在手订单备货。2025年经营活动产生的现金流量净额为1.11亿元，较2024年明显改善。上述指标表明，公司需要为下游客户提供一定信用和资金占用，现金结算层面下游客户相对更强势；同时项目延期或验收延迟可能带来库存减值和现金流压力。</w:t>
      </w:r>
    </w:p>
    <w:p>
      <w:pPr>
        <w:pStyle w:val="ListParagraph"/>
        <w:numPr>
          <w:ilvl w:val="0"/>
          <w:numId w:val="2"/>
        </w:numPr>
        <w:spacing w:after="80" w:line="280"/>
      </w:pPr>
      <w:r>
        <w:rPr>
          <w:sz w:val="22"/>
          <w:szCs w:val="22"/>
        </w:rPr>
        <w:t xml:space="preserve">2025年前五大客户销售金额占年度销售总额60.31%，第一大客户占19.71%，第二大客户占13.62%；前五大供应商采购金额占年度采购总额19.80%。客户集中度明显高于供应商集中度。客户和供应商均以匿名方式披露，研究纪要未提供具体名称及其他年度数据进行交叉核实，无法进一步判断单一客户或关键供应商的真实行业归属及依赖程度，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约26.39%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约5.86%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业务仍以传统水冷业务为主，同时动力电池热管理业务占比提升；新能源业务扩张和产品结构变化开始影响利润率。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约17.18%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水冷业务订单下滑、客户降价、原材料涨价及新能源汽车热管理业务占比提升导致毛利率下降；净利率较高主要包含转让东莞硅翔部分股权及相关投资收益，不代表主营业务常态盈利水平。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约24.90%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约-5.36%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水冷业务毛利率改善，数据中心和储能等高功率密度热管理业务收入增长，但高毛利传统业务占比仍不足；股权激励费用、期间费用及东莞硅翔不再并表等因素导致亏损。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约24.03%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主营收入规模下降，电力系统相关输配电项目投资安排和工程进度影响传统业务；高功率密度装置热管理产品占比提升但毛利率较低，尚未完全弥补传统高毛利业务下滑。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28.94%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约2.80%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大功率电力电子热管理产品收入占比由2024年的31.67%升至57.94%，该产品毛利率为35.04%，推动综合毛利率回升；高功率密度装置热管理产品毛利率仅13.10%，工程运维服务毛利率39.83%，分别形成拖累和补充。</w:t>
            </w:r>
          </w:p>
        </w:tc>
      </w:tr>
    </w:tbl>
    <w:p>
      <w:pPr>
        <w:spacing w:before="200"/>
      </w:pPr>
    </w:p>
    <w:p>
      <w:pPr>
        <w:spacing w:after="160" w:line="300"/>
      </w:pPr>
      <w:r>
        <w:rPr>
          <w:sz w:val="22"/>
          <w:szCs w:val="22"/>
        </w:rPr>
        <w:t xml:space="preserve">公司处于中游专业设备和系统集成环节，既非上游资源型企业，也不是拥有终端品牌溢价的下游企业。传统特高压、柔性直流和大功率电力电子热管理产品具有较高技术、认证和工程经验壁垒，毛利率相对较高；数据中心和储能液冷业务处于成长与竞争加剧阶段，毛利率相对较低。进一步提升利润主要依赖高毛利大功率电力电子热管理产品占比提升、海外特高压和海上柔直项目拓展、数据中心液冷及CDU规模化降本、储能液冷标准化、工程运维及备品备件收入扩大，以及大客户回款周期和项目营运资金占用改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4.9361亿元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同比增加18.16%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归母净利润2573.26万元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同比增加12.22%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9.8912亿元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同比增长43.09%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归母净利润2838.31万元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同比扭亏并增长156.40%</w:t>
            </w:r>
          </w:p>
        </w:tc>
      </w:tr>
    </w:tbl>
    <w:p>
      <w:pPr>
        <w:spacing w:after="200"/>
      </w:pPr>
      <w:r>
        <w:rPr>
          <w:i/>
          <w:iCs/>
          <w:color w:val="595959"/>
          <w:sz w:val="18"/>
          <w:szCs w:val="18"/>
        </w:rPr>
        <w:t xml:space="preserve">最新披露财报为高澜股份2026年半年度报告，报告期截至2026年6月30日，公告于2026年8月披露。2026年上半年扣非归母净利润为2459.10万元，同比增长37.86%；2025年度扣非归母净利润为5578.18万元，同比增长194.43%。</w:t>
      </w:r>
    </w:p>
    <w:p>
      <w:pPr>
        <w:spacing w:after="160" w:line="300"/>
      </w:pPr>
      <w:r>
        <w:rPr>
          <w:sz w:val="22"/>
          <w:szCs w:val="22"/>
        </w:rPr>
        <w:t xml:space="preserve">2026年上半年收入和利润均实现同比增长，扣非归母净利润增速高于收入增速。分业务看，大功率电力电子热管理产品收入2.1541亿元，同比下降3.69%，毛利率37.72%；高功率密度装置热管理产品收入2.1011亿元，同比增长53.41%，毛利率11.83%；工程运维服务收入6015.03万元，同比增长36.84%，毛利率36.75%。高功率密度装置热管理业务是收入增长的主要来源，但毛利率明显低于另外两项业务。2026年上半年投资收益2054.12万元，占利润总额约68.14%，主要来自联营企业东莞硅翔，归母净利润并不完全来自主营业务经营。期末应收账款为5.0014亿元，较2025年末的4.0444亿元增加；存货为6.6741亿元，较2025年末的5.4604亿元增加；经营活动现金流净额为-2636.46万元，上年同期为7636.43万元，现金流转负，需关注回款效率和营运资金占用。2025年经营活动现金流净额为1.1086亿元，较2024年的-6823.73万元改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预测来自单家券商研报或历史研报数据，不构成稳定的多机构一致预期。国信证券研报日期为2025年9月16日，东北证券为2026年3月3日，国海证券为2025年8月20日，浙商证券为2025年9月4日。公开渠道显示同花顺盈利预测页面截至近期为“本年度暂无机构做出业绩预测”，且最近6个月评级统计未显示有效的买入、增持或其他评级样本。2028年收入、净利润和EPS缺乏公开可核实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15.91亿元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2025年（东北证券）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2026年（东北证券）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未直接披露；纪要按总股本粗略折算约0.36元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2027年（东北证券）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2025年（国海证券）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9.40亿元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2026年（国海证券）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2027年（国海证券）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2025年（浙商证券）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2026年（浙商证券）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12.99亿元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2027年（浙商证券）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目标价44元；按2026年每股净资产9倍PB估值。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2025年9月16日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目标价格区间31.39—33.63元；估值基准主要为2026年70—75倍PE。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公开摘要中未见明确目标价。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公开摘要中未见明确目标价。</w:t>
            </w:r>
          </w:p>
        </w:tc>
      </w:tr>
    </w:tbl>
    <w:p>
      <w:pPr>
        <w:spacing w:before="200"/>
      </w:pPr>
    </w:p>
    <w:p>
      <w:pPr>
        <w:spacing w:after="160" w:line="300"/>
      </w:pPr>
      <w:r>
        <w:rPr>
          <w:sz w:val="22"/>
          <w:szCs w:val="22"/>
        </w:rPr>
        <w:t xml:space="preserve">截至2026年9月11日收盘，公司股价34.90元，当日涨跌幅为-4.46%，总股本约3.0525亿股，按收盘价估算总市值约106.6亿元。公开行情数据存在口径差异：中财网披露市盈率约341.62倍、扣非市盈率约170.36倍；小乐财报披露PE约317.44倍、PB约7.16倍，页面日期为2026年9月2日；同花顺显示动态PE约216.67倍、静态PE约392.87倍。按国信证券2026年EPS预测0.45元计算，前瞻PE约77.6倍；按东北证券2026年归母净利润1.11亿元粗略折算EPS约0.36元，前瞻PE约96倍；按浙商证券2026年归母净利润0.83亿元粗略折算EPS约0.27元，前瞻PE约128倍。即使按相对乐观的2026年归母净利润1.37亿元计算，当前股价对应前瞻PE仍约78倍。2026年半年度归母净资产为13.8283亿元，按总股本约3.0525亿股计算，每股净资产约4.53元，34.90元股价对应PB约7.7倍，与公开行情数据基本一致。公开研报目标价主要集中在31.39—44元区间，当前股价高于国信证券历史目标区间、低于东北证券目标价，但研报时点不同，不能简单视为当前有效目标价。整体而言，公司当前估值较高，估值消化依赖未来利润快速增长；机构对2026年归母净利润预测区间为0.83—1.37亿元，分歧较大。需要重点关注液冷业务放量速度、毛利率、订单兑现、应收账款和存货增长，以及投资收益占比较高和经营现金流转负对业绩质量的影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东莞硅翔股权出售获深交所并购重组审核通过，但尚未完成交割</w:t>
      </w:r>
    </w:p>
    <w:p>
      <w:pPr>
        <w:spacing w:after="160" w:line="300"/>
      </w:pPr>
      <w:r>
        <w:rPr>
          <w:sz w:val="22"/>
          <w:szCs w:val="22"/>
        </w:rPr>
        <w:t xml:space="preserve">2026年9月8日，高澜股份披露，深交所并购重组审核委员会已审议通过爱克股份发行股份及支付现金购买资产事项。高澜股份拟向爱克股份转让所持东莞硅翔16.9759%股权。2026年9月9日，公司进一步披露该事项仍处于监管审批及交易交割推进阶段，截至公告披露日股权尚未完成最终过户交割。交易仍需取得中国证监会同意注册的批复，最终能否获批及完成时间存在不确定性。</w:t>
      </w:r>
    </w:p>
    <w:p>
      <w:pPr>
        <w:pStyle w:val="Heading2"/>
        <w:spacing w:after="120" w:before="240"/>
      </w:pPr>
      <w:r>
        <w:rPr>
          <w:b/>
          <w:bCs/>
          <w:color w:val="2E74B5"/>
          <w:sz w:val="24"/>
          <w:szCs w:val="24"/>
        </w:rPr>
        <w:t xml:space="preserve">4.2 东莞硅翔股权交易规模约3.7亿元，旨在优化资产结构</w:t>
      </w:r>
    </w:p>
    <w:p>
      <w:pPr>
        <w:spacing w:after="160" w:line="300"/>
      </w:pPr>
      <w:r>
        <w:rPr>
          <w:sz w:val="22"/>
          <w:szCs w:val="22"/>
        </w:rPr>
        <w:t xml:space="preserve">高澜股份拟转让东莞硅翔5,128,400元出资额，占其当前注册资本的16.9759%。根据此前交易安排，东莞硅翔100%股权整体作价约22亿元，高澜股份所持股权对应交易金额约3.7347亿元。该交易最早于2025年12月启动，2026年3月及8月分别签署补充协议及补充协议（二）。若最终完成，公司有望回笼约3.7亿元资金，并将资源进一步集中于电力电子热管理、数据中心液冷及储能热管理等主营方向；最终交易价格、交割时点及会计处理以监管批复、交易实施及审计确认结果为准。</w:t>
      </w:r>
    </w:p>
    <w:p>
      <w:pPr>
        <w:pStyle w:val="Heading2"/>
        <w:spacing w:after="120" w:before="240"/>
      </w:pPr>
      <w:r>
        <w:rPr>
          <w:b/>
          <w:bCs/>
          <w:color w:val="2E74B5"/>
          <w:sz w:val="24"/>
          <w:szCs w:val="24"/>
        </w:rPr>
        <w:t xml:space="preserve">4.3 2026年第三次临时股东会通过续聘审计机构议案</w:t>
      </w:r>
    </w:p>
    <w:p>
      <w:pPr>
        <w:spacing w:after="160" w:line="300"/>
      </w:pPr>
      <w:r>
        <w:rPr>
          <w:sz w:val="22"/>
          <w:szCs w:val="22"/>
        </w:rPr>
        <w:t xml:space="preserve">高澜股份2026年第三次临时股东会于2026年9月7日召开，并于2026年9月8日披露决议公告。会议审议通过《关于续聘2026年度审计机构的议案》：同意票46,260,016股，占出席会议有效表决权股份的99.7060%；反对90,000股，占0.1940%；弃权46,400股，占0.1000%；中小股东同意比例为92.0798%。本次会议未出现议案被否决的情况。东莞硅翔股权交易相关议案此前已于2026年8月20日召开的第二次临时股东会上审议通过。</w:t>
      </w:r>
    </w:p>
    <w:p>
      <w:pPr>
        <w:pStyle w:val="Heading2"/>
        <w:spacing w:after="120" w:before="240"/>
      </w:pPr>
      <w:r>
        <w:rPr>
          <w:b/>
          <w:bCs/>
          <w:color w:val="2E74B5"/>
          <w:sz w:val="24"/>
          <w:szCs w:val="24"/>
        </w:rPr>
        <w:t xml:space="preserve">4.4 全资子公司增资扩股，高澜股份持股比例降至60%</w:t>
      </w:r>
    </w:p>
    <w:p>
      <w:pPr>
        <w:spacing w:after="160" w:line="300"/>
      </w:pPr>
      <w:r>
        <w:rPr>
          <w:sz w:val="22"/>
          <w:szCs w:val="22"/>
        </w:rPr>
        <w:t xml:space="preserve">2026年8月22日，高澜股份披露广州高澜创新科技有限公司增资扩股及公司放弃优先认购权暨关联交易公告。李琦、王杨阳及员工持股平台拟合计出资9,000万元，认缴新增注册资本1,000万元；高澜股份放弃本次增资优先认购权。增资完成后，公司持股比例由100%下降至60%，高澜创新科技由全资子公司变为控股子公司，仍纳入合并报表范围。由于公司董事、高级管理人员参与增资，本次交易构成关联交易。该事项可充实子公司资本金并支持数据中心液冷等业务拓展，但未来子公司新增利润中归属于上市公司股东的比例将相应下降。</w:t>
      </w:r>
    </w:p>
    <w:p>
      <w:pPr>
        <w:pStyle w:val="Heading2"/>
        <w:spacing w:after="120" w:before="240"/>
      </w:pPr>
      <w:r>
        <w:rPr>
          <w:b/>
          <w:bCs/>
          <w:color w:val="2E74B5"/>
          <w:sz w:val="24"/>
          <w:szCs w:val="24"/>
        </w:rPr>
        <w:t xml:space="preserve">4.5 子公司完成法定代表人及经营范围工商变更</w:t>
      </w:r>
    </w:p>
    <w:p>
      <w:pPr>
        <w:spacing w:after="160" w:line="300"/>
      </w:pPr>
      <w:r>
        <w:rPr>
          <w:sz w:val="22"/>
          <w:szCs w:val="22"/>
        </w:rPr>
        <w:t xml:space="preserve">2026年8月26日，高澜股份披露全资子公司变更法定代表人及经营范围并完成工商变更登记的公告。根据目前检索到的信息，该事项属于组织及工商登记层面的调整，未显示其构成重大资产重组或改变公司控制权。</w:t>
      </w:r>
    </w:p>
    <w:p>
      <w:pPr>
        <w:pStyle w:val="Heading2"/>
        <w:spacing w:after="120" w:before="240"/>
      </w:pPr>
      <w:r>
        <w:rPr>
          <w:b/>
          <w:bCs/>
          <w:color w:val="2E74B5"/>
          <w:sz w:val="24"/>
          <w:szCs w:val="24"/>
        </w:rPr>
        <w:t xml:space="preserve">4.6 2026年上半年业绩保持增长，但经营活动现金流转负</w:t>
      </w:r>
    </w:p>
    <w:p>
      <w:pPr>
        <w:spacing w:after="160" w:line="300"/>
      </w:pPr>
      <w:r>
        <w:rPr>
          <w:sz w:val="22"/>
          <w:szCs w:val="22"/>
        </w:rPr>
        <w:t xml:space="preserve">高澜股份于2026年8月22日披露2026年半年度报告。2026年上半年，公司营业收入4.9361亿元，同比增长18.16%；归属于上市公司股东的净利润2,573.26万元，同比增长12.22%；扣除非经常性损益后的净利润2,459.10万元，同比增长37.86%；经营活动产生的现金流量净额为-2,636.46万元，上年同期为7,643.63万元。报告披露时，东莞硅翔股权出售事项仍未完成监管审批及股权交割。截至2026年9月13日，未检索到公司9月份新增年度、半年度或第三季度业绩预告及业绩快报。</w:t>
      </w:r>
    </w:p>
    <w:p>
      <w:pPr>
        <w:pStyle w:val="Heading2"/>
        <w:spacing w:after="120" w:before="240"/>
      </w:pPr>
      <w:r>
        <w:rPr>
          <w:b/>
          <w:bCs/>
          <w:color w:val="2E74B5"/>
          <w:sz w:val="24"/>
          <w:szCs w:val="24"/>
        </w:rPr>
        <w:t xml:space="preserve">4.7 截至9月13日未发现新增回购、重要股东减持或增持公告</w:t>
      </w:r>
    </w:p>
    <w:p>
      <w:pPr>
        <w:spacing w:after="160" w:line="300"/>
      </w:pPr>
      <w:r>
        <w:rPr>
          <w:sz w:val="22"/>
          <w:szCs w:val="22"/>
        </w:rPr>
        <w:t xml:space="preserve">截至2026年9月13日，未检索到高澜股份在2026年9月新增股份回购方案、回购进展公告或回购注销公告；2026年半年度报告披露，报告期内不存在正在实施的股份回购事项。同一期间未检索到控股股东、实际控制人或董事高管发布新的集中竞价减持计划、增持计划或权益变动报告。2026年半年度报告时点的前十大流通股东结构出现变化，但该信息并非9月份发生的实时减持公告。</w:t>
      </w:r>
    </w:p>
    <w:p>
      <w:pPr>
        <w:pStyle w:val="Heading2"/>
        <w:spacing w:after="120" w:before="240"/>
      </w:pPr>
      <w:r>
        <w:rPr>
          <w:b/>
          <w:bCs/>
          <w:color w:val="2E74B5"/>
          <w:sz w:val="24"/>
          <w:szCs w:val="24"/>
        </w:rPr>
        <w:t xml:space="preserve">4.8 截至9月13日未发现公司受到新增监管处罚或调查</w:t>
      </w:r>
    </w:p>
    <w:p>
      <w:pPr>
        <w:spacing w:after="160" w:line="300"/>
      </w:pPr>
      <w:r>
        <w:rPr>
          <w:sz w:val="22"/>
          <w:szCs w:val="22"/>
        </w:rPr>
        <w:t xml:space="preserve">截至2026年9月13日，未检索到高澜股份在9月份收到监管警示函、纪律处分、问询函或立案调查公告。近期与公司关系最密切的监管事项为爱克股份收购东莞硅翔100%股权交易获得深交所并购重组审核委员会审议通过，但该事项仍需中国证监会注册批复，属于并购审核进展，不是针对高澜股份的监管处罚或负面监管措施。</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34.90元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-1.63元/-4.46%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36.00元/36.52元/33.41元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约4516.32万股/约15.65亿元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总市值约106.53亿元，流通市值约94.83亿元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市盈率TTM约341.62倍；同花顺披露静态市盈率约392.87倍；市净率约7.70倍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不同平台披露存在差异，约为23.20～48.04元；本源量化披露为29.22～43.84元，数据口径可能受区间起始日期、复权方式及页面刷新时间影响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2026年8月13日至9月11日，收盘价由28.31元一度升至36.82元，随后回落至34.90元；9月7日、9月9日分别上涨8.82%、8.42%，9月8日、9月11日分别下跌5.43%、4.46%，短线波动明显放大</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2026年9月10日平台数据：MA5为37.57元、MA10为35.85元、MA20为35.24元；基于8月13日至9月11日收盘价的辅助测算：MA5约35.62元、MA10约34.23元、20日收盘均值约31.85元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不同平台和手工测算存在差异，可能源于样本、复权及算法口径不同。股价低于或接近短期MA5，短线调整压力上升；MA10、MA20仍位于相对较低位置，中期趋势尚未完全破坏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2026年9月10日分别为33.67元、31.50元、29.41元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平台均显示买入信号；截至9月11日收盘价34.90元仍高于上述中长期均线，表明中期趋势暂未完全转弱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2026年9月10日约0.59，页面信号为买入；9月11日收盘后的完整DIF、DEA及柱体数值缺失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MACD仍为正值，中期动能尚未转为明显空头；但9月11日出现放量下跌，需观察后续DIF与DEA是否继续收敛、红柱是否缩短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2026年9月10日为52.559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处于中性区域，短线并非典型超卖。页面同时显示随机指标接近超卖，反映冲高后动能降温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2026年8月27日同花顺披露为68.34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处于偏强但尚未极端超买区间；由于参数及日期不同，不能与当前RSI(14)直接比较，也不能视为当前指标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未检索到2026年9月11日收盘后行情终端直接披露值；基于20个收盘价辅助测算：中轨约31.85元、标准差约2.83元、上轨约37.52元、下轨约26.18元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9月11日收盘价34.90元位于辅助测算中轨上方并接近上轨区域；该结果受样本、复权及标准差算法影响，仅用于辅助判断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资金流与量价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9月11日主力资金净流出约2.23亿元，成交额约15.65亿元，股价下跌4.46%；8月20日、8月27日、9月7日、9月9日成交额分别约2.8亿元、11.1亿元、20.14亿元、18.33亿元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近期成交量和成交额明显高于8月中下旬低位阶段，上涨日与下跌日均有较大成交量，表现为高换手、高波动及资金分歧较强，不能仅凭成交放大判断资金持续净流入</w:t>
            </w:r>
          </w:p>
        </w:tc>
      </w:tr>
    </w:tbl>
    <w:p>
      <w:pPr>
        <w:spacing w:before="200"/>
      </w:pPr>
    </w:p>
    <w:p>
      <w:pPr>
        <w:spacing w:after="160" w:line="300"/>
      </w:pPr>
      <w:r>
        <w:rPr>
          <w:sz w:val="22"/>
          <w:szCs w:val="22"/>
        </w:rPr>
        <w:t xml:space="preserve">截至2026年9月11日收盘，高澜股份收于34.90元，较前一交易日下跌4.46%，并伴随约15.65亿元成交额和16.62%换手率。股价仍高于MA50、MA100和MA200，且9月10日MACD(12,26)仍为正值，中期趋势暂未完全转弱；但9月11日出现较大阴线并伴随主力资金净流出约2.23亿元，股价低于或接近短线MA5，短期调整压力明显上升。基于历史收盘价测算的布林带显示股价位于中轨上方并接近上轨区域，近期价格及成交量均处于高波动、高分歧状态。估值方面，第三方平台披露的TTM市盈率约341.62倍，同花顺披露静态市盈率约392.87倍，两者口径不同，不宜混用；高估值也意味着技术走势可能更易受到情绪、资金流及板块环境变化影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风险提示：以下内容仅为基于截至2026年9月11日收盘数据及公开技术指标的主观情景推演，不构成投资建议，也不构成对未来价格的保证。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36.50～38.60元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依据包括9月11日高点36.52元、9月10日高点38.62元及近期反弹高点区域。若放量重新站上38.60元，短线可能打开向前期高点或不同平台披露的52周高位区域试探的空间；若多次冲高不过，则反映上方抛压仍重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33.40～34.00元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依据包括9月11日最低价33.41元、9月8日收盘价33.96元及近期短线波动密集区。若该区域获得承接，可能形成震荡修复；若有效跌破，短线强弱平衡可能进一步转弱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31.00～32.00元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依据包括9月7日最低价31.01元、20日收盘均值约31.85元及8月底至9月初成交密集区。若有效跌破31元附近，后续可能向29.20元左右的近期低位或其他中期均线区域寻找支撑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资金流和成交量的主观启发式权重，不是统计概率）：参考价格带为33.40～37.00元。触发条件是股价在33.40～34.00元区域获得支撑，成交额较9月11日回落，主力资金净流出收窄，且板块情绪未进一步恶化。技术上可能表现为前期快速上涨后的换手，在MA10附近与前期高点之间反复震荡</w:t>
      </w:r>
    </w:p>
    <w:p>
      <w:pPr>
        <w:pStyle w:val="ListParagraph"/>
        <w:numPr>
          <w:ilvl w:val="0"/>
          <w:numId w:val="2"/>
        </w:numPr>
        <w:spacing w:after="80" w:line="280"/>
      </w:pPr>
      <w:r>
        <w:rPr>
          <w:sz w:val="22"/>
          <w:szCs w:val="22"/>
        </w:rPr>
        <w:t xml:space="preserve">偏弱下行（权重中等；为主观启发式判断，不是统计概率）：参考价格带为31.00～33.40元。触发条件是33.40元附近失守，且单日成交额维持在15亿元以上、下跌日继续放量，或液冷、算力及创业板相关板块同步走弱。若31.00～32.00元强支撑区也被有效跌破，可能打开向29元附近回撤的空间</w:t>
      </w:r>
    </w:p>
    <w:p>
      <w:pPr>
        <w:pStyle w:val="ListParagraph"/>
        <w:numPr>
          <w:ilvl w:val="0"/>
          <w:numId w:val="2"/>
        </w:numPr>
        <w:spacing w:after="80" w:line="280"/>
      </w:pPr>
      <w:r>
        <w:rPr>
          <w:sz w:val="22"/>
          <w:szCs w:val="22"/>
        </w:rPr>
        <w:t xml:space="preserve">反弹走强（权重偏低；为主观启发式判断，不是统计概率）：参考价格带为36.50～39.00元。触发条件是股价重新站回36.50元以上并以明显放量确认，单日成交额持续高于近期正常区间，同时主力资金由净流出转为连续净流入；若进一步突破38.60元，短线强势程度才得到更充分确认。单日冲高但成交量萎缩，不构成有效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9月11日换手率约16.62%，成交额约15.65亿元；9月7日至9月11日，日成交量约4477万～5812万股，成交额约15.30亿～20.14亿元，明显高于8月中下旬约2.8亿元的低位成交额。股东数据截至2026年6月30日：前十大股东合计持有约5409.87万股，占总股本约17.71%；前十大流通股东合计持有约2098.82万股，占流通股约6.88%，集中度不高。前十大股东中有易方达国证新能源电池ETF、香港中央结算有限公司及高盛国际-自有资金，但单一机构持股比例分别约0.59%、0.50%和0.25%，不能据此推断机构高度控盘。上述股东结构相对9月11日存在至少一个季度左右的滞后，6月30日之后可能已经发生变化。结合近期高换手，实际交易中筹码交换较充分，盘中价格波动及滑点风险可能高于低换手股票；但仅凭该数据无法判断当前机构真实持仓或交易方向。</w:t>
      </w:r>
    </w:p>
    <w:p>
      <w:pPr>
        <w:spacing w:after="160" w:line="300"/>
      </w:pPr>
      <w:r>
        <w:rPr>
          <w:sz w:val="22"/>
          <w:szCs w:val="22"/>
        </w:rPr>
        <w:t xml:space="preserve">可检查的量能确认信号：若未来一周连续两个交易日成交额达到18亿元以上，同时股价收盘重新站上36.50元，且主力资金至少不再大幅净流出，可视为短线资金承接改善的确认信号；若放量但股价继续收于33.40元下方，则更偏向于高位派发或筹码松动。</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观察思路，非操作指令：关注33.40～34.00元区域能否形成支撑，以及失守后是否向31.00～32.00元强支撑区运行。</w:t>
      </w:r>
    </w:p>
    <w:p>
      <w:pPr>
        <w:pStyle w:val="ListParagraph"/>
        <w:numPr>
          <w:ilvl w:val="0"/>
          <w:numId w:val="2"/>
        </w:numPr>
        <w:spacing w:after="80" w:line="280"/>
      </w:pPr>
      <w:r>
        <w:rPr>
          <w:sz w:val="22"/>
          <w:szCs w:val="22"/>
        </w:rPr>
        <w:t xml:space="preserve">观察思路，非操作指令：关注36.50～38.60元压力带能否在成交量配合下有效突破。</w:t>
      </w:r>
    </w:p>
    <w:p>
      <w:pPr>
        <w:pStyle w:val="ListParagraph"/>
        <w:numPr>
          <w:ilvl w:val="0"/>
          <w:numId w:val="2"/>
        </w:numPr>
        <w:spacing w:after="80" w:line="280"/>
      </w:pPr>
      <w:r>
        <w:rPr>
          <w:sz w:val="22"/>
          <w:szCs w:val="22"/>
        </w:rPr>
        <w:t xml:space="preserve">观察思路，非操作指令：关注下跌时成交额是否持续高于15亿元，以及主力资金净流出是否收窄。</w:t>
      </w:r>
    </w:p>
    <w:p>
      <w:pPr>
        <w:pStyle w:val="ListParagraph"/>
        <w:numPr>
          <w:ilvl w:val="0"/>
          <w:numId w:val="2"/>
        </w:numPr>
        <w:spacing w:after="80" w:line="280"/>
      </w:pPr>
      <w:r>
        <w:rPr>
          <w:sz w:val="22"/>
          <w:szCs w:val="22"/>
        </w:rPr>
        <w:t xml:space="preserve">观察思路，非操作指令：关注是否出现连续两个交易日成交额达到18亿元以上、收盘站上36.50元且主力资金不再大幅净流出的量价组合。</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高澜股份所处行业可概括为工业热管理设备及液冷系统，横跨电气机械及器材制造、专用设备、数据中心基础设施和储能温控等细分领域。行业需要围绕电压等级、功率密度、环境温度、海拔、盐雾、湿度和设备结构进行方案设计、管路设计、换热设计、控制系统设计及现场调试，进入壁垒主要包括技术、品牌、资金、工程经验和客户认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液冷设备应用于换流阀、储能电站和数据中心等关键设备，冷却系统故障可能影响主设备运行，下游客户通常优先选择具备长期工程业绩和可靠性记录的供应商。</w:t>
      </w:r>
    </w:p>
    <w:p>
      <w:pPr>
        <w:pStyle w:val="ListParagraph"/>
        <w:numPr>
          <w:ilvl w:val="0"/>
          <w:numId w:val="2"/>
        </w:numPr>
        <w:spacing w:after="80" w:line="280"/>
      </w:pPr>
      <w:r>
        <w:rPr>
          <w:sz w:val="22"/>
          <w:szCs w:val="22"/>
        </w:rPr>
        <w:t xml:space="preserve">国内液冷设备行业仍处于成长阶段，尚未形成绝对垄断者，但技术研发、系统集成、客户认证、长期运行验证及设计制造安装调试售后能力构成较高综合门槛，行业集中度相对较高。</w:t>
      </w:r>
    </w:p>
    <w:p>
      <w:pPr>
        <w:pStyle w:val="ListParagraph"/>
        <w:numPr>
          <w:ilvl w:val="0"/>
          <w:numId w:val="2"/>
        </w:numPr>
        <w:spacing w:after="80" w:line="280"/>
      </w:pPr>
      <w:r>
        <w:rPr>
          <w:sz w:val="22"/>
          <w:szCs w:val="22"/>
        </w:rPr>
        <w:t xml:space="preserve">未来竞争重点包括特高压和柔性直流项目的技术认证及全球交付能力、数据中心冷板和浸没式液冷及CDU产品的标准化与规模化、储能液冷系统的成本能效与安全性、海外项目本地化服务、大客户绑定及长期运维服务。</w:t>
      </w:r>
    </w:p>
    <w:p>
      <w:pPr>
        <w:pStyle w:val="ListParagraph"/>
        <w:numPr>
          <w:ilvl w:val="0"/>
          <w:numId w:val="2"/>
        </w:numPr>
        <w:spacing w:after="80" w:line="280"/>
      </w:pPr>
      <w:r>
        <w:rPr>
          <w:sz w:val="22"/>
          <w:szCs w:val="22"/>
        </w:rPr>
        <w:t xml:space="preserve">随着国产替代和行业成熟，市场竞争可能加剧，行业利润率存在向平均水平回归的压力；具有先发优势、丰富工程经验、完整产品线和规模化生产能力的企业有望保持较强竞争力。</w:t>
      </w:r>
    </w:p>
    <w:p>
      <w:pPr>
        <w:pStyle w:val="ListParagraph"/>
        <w:numPr>
          <w:ilvl w:val="0"/>
          <w:numId w:val="2"/>
        </w:numPr>
        <w:spacing w:after="80" w:line="280"/>
      </w:pPr>
      <w:r>
        <w:rPr>
          <w:sz w:val="22"/>
          <w:szCs w:val="22"/>
        </w:rPr>
        <w:t xml:space="preserve">公司披露“国内领先”“行业龙头”等表述，但研究纪要未提供统一口径的国内市场占有率，因此行业地位应理解为基于技术、客户认证、工程业绩和产品线的定性判断，而非经独立第三方验证的市场份额排名。</w:t>
      </w:r>
    </w:p>
    <w:p>
      <w:pPr>
        <w:pStyle w:val="ListParagraph"/>
        <w:numPr>
          <w:ilvl w:val="0"/>
          <w:numId w:val="2"/>
        </w:numPr>
        <w:spacing w:after="80" w:line="280"/>
      </w:pPr>
      <w:r>
        <w:rPr>
          <w:sz w:val="22"/>
          <w:szCs w:val="22"/>
        </w:rPr>
        <w:t xml:space="preserve">数据中心及储能液冷市场仍在快速变化，英维克、申菱环境、同飞股份、川润股份以及部分电力设备和服务器基础设施企业均可能在不同项目中形成竞争；可比公司仅代表业务重叠较高，不代表产品完全同质。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英维克（002837.SZ）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精密温控节能设备供应商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覆盖数据中心、通信网络、电力电网、储能、电源转换及车辆空调等领域，在数据中心温控、机房温控、机柜温控和储能温控方面规模较大；与高澜股份在数据中心液冷和储能温控领域存在直接竞争。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申菱环境（301018.SZ）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专业特种空调、人工环境调节设备和环境控制整体解决方案供应商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覆盖数据中心、工业工艺、储能、锂电池制造和公共建筑等场景；与高澜股份在数据中心和储能温控场景存在一定重叠，但产品结构并非完全可比。</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同飞股份（300990.SZ）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工业温控设备供应商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产品包括液体恒温设备、电气箱恒温装置、纯水冷却单元和特种换热器，覆盖数控机床、激光设备、半导体制造、电力电子、储能、氢能和数据中心；与高澜股份在纯水冷却单元、电力电子温控和储能温控方面具有一定可比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川润股份（002272.SZ）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布局液冷系统、数据中心及储能温控的企业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与高澜股份的业务重叠主要在数据中心液冷、储能液冷和液冷系统集成；高澜股份在特高压直流输电、柔性直流和电力电子纯水冷却方面的历史项目积累更突出。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四方股份（601126.SH）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电力自动化和电力电子企业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存在部分直流水冷及电力装备温控业务；与高澜股份并非完全同业，仅在电力电子、输配电设备及部分冷却系统项目上具有一定可比性，产品内容、应用场景和业务结构存在差异。</w:t>
            </w:r>
          </w:p>
        </w:tc>
      </w:tr>
    </w:tbl>
    <w:p>
      <w:pPr>
        <w:spacing w:before="200"/>
      </w:pPr>
    </w:p>
    <w:p>
      <w:pPr>
        <w:spacing w:after="160" w:line="300"/>
      </w:pPr>
      <w:r>
        <w:rPr>
          <w:sz w:val="22"/>
          <w:szCs w:val="22"/>
        </w:rPr>
        <w:t xml:space="preserve">高澜股份与英维克、申菱环境、同飞股份和川润股份在数据中心液冷、储能温控或工业温控等领域存在不同程度重叠，但高澜股份更偏向高功率电力电子装置的纯水冷却、特高压直流、柔性直流和海上柔直液冷系统，在电力电子热管理领域具有较强历史积累；与四方股份的可比性则主要集中于电力电子、输配电设备及部分冷却系统项目。各公司产品结构和应用场景并不完全一致，不能进行简单同质化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业务盈利对产品结构较为敏感。2025年高毛利的大功率电力电子热管理产品占比提升推动综合毛利率回升，但2026年上半年该业务收入同比下降3.69%；若电力电子热管理订单或项目进度放缓，可能削弱收入和利润增长基础。</w:t>
      </w:r>
    </w:p>
    <w:p>
      <w:pPr>
        <w:pStyle w:val="ListParagraph"/>
        <w:numPr>
          <w:ilvl w:val="0"/>
          <w:numId w:val="2"/>
        </w:numPr>
        <w:spacing w:after="80" w:line="280"/>
      </w:pPr>
      <w:r>
        <w:rPr>
          <w:sz w:val="22"/>
          <w:szCs w:val="22"/>
        </w:rPr>
        <w:t xml:space="preserve">高功率密度装置热管理业务收入增长较快，但毛利率偏低。2025年该业务毛利率为13.10%，2026年上半年进一步为11.83%，若数据中心液冷、CDU及储能液冷持续采取定制化比价或竞争加剧，收入放量未必同步转化为利润增长。</w:t>
      </w:r>
    </w:p>
    <w:p>
      <w:pPr>
        <w:pStyle w:val="ListParagraph"/>
        <w:numPr>
          <w:ilvl w:val="0"/>
          <w:numId w:val="2"/>
        </w:numPr>
        <w:spacing w:after="80" w:line="280"/>
      </w:pPr>
      <w:r>
        <w:rPr>
          <w:sz w:val="22"/>
          <w:szCs w:val="22"/>
        </w:rPr>
        <w:t xml:space="preserve">营运资金占用和回款压力较大。截至2026年6月30日，应收账款5.0014亿元、存货6.6741亿元，均较2025年末增加；经营活动现金流净额为-2636.46万元。若客户付款审批、项目验收或质保金结算继续延迟，可能造成现金流压力、存货减值或应收账款回收风险。</w:t>
      </w:r>
    </w:p>
    <w:p>
      <w:pPr>
        <w:pStyle w:val="ListParagraph"/>
        <w:numPr>
          <w:ilvl w:val="0"/>
          <w:numId w:val="2"/>
        </w:numPr>
        <w:spacing w:after="80" w:line="280"/>
      </w:pPr>
      <w:r>
        <w:rPr>
          <w:sz w:val="22"/>
          <w:szCs w:val="22"/>
        </w:rPr>
        <w:t xml:space="preserve">客户集中度较高。2025年前五大客户销售金额占年度销售总额60.31%，第一大客户占19.71%，第二大客户占13.62%；主要客户具有较强议价能力，若重点客户项目投资安排、采购节奏或验收进度变化，可能对公司收入确认、毛利率和回款产生较大影响。</w:t>
      </w:r>
    </w:p>
    <w:p>
      <w:pPr>
        <w:pStyle w:val="ListParagraph"/>
        <w:numPr>
          <w:ilvl w:val="0"/>
          <w:numId w:val="2"/>
        </w:numPr>
        <w:spacing w:after="80" w:line="280"/>
      </w:pPr>
      <w:r>
        <w:rPr>
          <w:sz w:val="22"/>
          <w:szCs w:val="22"/>
        </w:rPr>
        <w:t xml:space="preserve">归母利润受到投资收益影响较大。2026年上半年投资收益2054.12万元，占利润总额约68.14%，若联营企业东莞硅翔经营表现或投资收益发生变化，公司归母净利润可能与主营业务经营表现出现较大偏离。</w:t>
      </w:r>
    </w:p>
    <w:p>
      <w:pPr>
        <w:pStyle w:val="ListParagraph"/>
        <w:numPr>
          <w:ilvl w:val="0"/>
          <w:numId w:val="2"/>
        </w:numPr>
        <w:spacing w:after="80" w:line="280"/>
      </w:pPr>
      <w:r>
        <w:rPr>
          <w:sz w:val="22"/>
          <w:szCs w:val="22"/>
        </w:rPr>
        <w:t xml:space="preserve">东莞硅翔股权出售仍存在交易执行不确定性。虽然相关事项已获深交所并购重组审核委员会审议通过，但尚需中国证监会注册批复并完成最终过户交割，交易价格、交割时间及会计处理仍可能变化，约3.7亿元资金回笼计划尚不能视为已经实现。</w:t>
      </w:r>
    </w:p>
    <w:p>
      <w:pPr>
        <w:pStyle w:val="ListParagraph"/>
        <w:numPr>
          <w:ilvl w:val="0"/>
          <w:numId w:val="2"/>
        </w:numPr>
        <w:spacing w:after="80" w:line="280"/>
      </w:pPr>
      <w:r>
        <w:rPr>
          <w:sz w:val="22"/>
          <w:szCs w:val="22"/>
        </w:rPr>
        <w:t xml:space="preserve">控股子公司持股比例变化可能影响归母收益。高澜创新科技增资扩股完成后，公司持股比例由100%降至60%，虽然仍纳入合并报表，但未来该子公司新增利润中归属于上市公司股东的比例将相应下降。</w:t>
      </w:r>
    </w:p>
    <w:p>
      <w:pPr>
        <w:pStyle w:val="ListParagraph"/>
        <w:numPr>
          <w:ilvl w:val="0"/>
          <w:numId w:val="2"/>
        </w:numPr>
        <w:spacing w:after="80" w:line="280"/>
      </w:pPr>
      <w:r>
        <w:rPr>
          <w:sz w:val="22"/>
          <w:szCs w:val="22"/>
        </w:rPr>
        <w:t xml:space="preserve">当前估值对业绩兑现要求较高。截至2026年9月11日，股价34.90元对应TTM市盈率约341.62倍、市净率约7.70倍；若液冷业务放量、毛利率改善或利润增长不及市场预期，估值波动可能被放大。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电力电子热管理业务的订单与产品结构改善，以及数据中心液冷、CDU和储能热管理等高功率密度业务的扩张。2026年上半年高功率密度装置热管理收入增长较快，工程运维服务收入也同比增长36.84%；若液冷产品能够实现标准化、规模化降本，并通过客户认证和工程经验形成持续订单，公司收入空间和业务结构仍有改善可能。东莞硅翔股权若顺利完成交割，预计可回笼约3.7亿元资金，资产结构和主营聚焦度有望进一步调整。</w:t>
      </w:r>
    </w:p>
    <w:p>
      <w:pPr>
        <w:spacing w:after="160" w:line="300"/>
      </w:pPr>
      <w:r>
        <w:rPr>
          <w:sz w:val="22"/>
          <w:szCs w:val="22"/>
        </w:rPr>
        <w:t xml:space="preserve">不过，公司盈利质量和增长持续性仍需结合主营业务表现观察。2026年上半年大功率电力电子热管理收入同比下降，高功率密度装置热管理虽贡献收入增长，但毛利率仅11.83%；同时投资收益占利润总额比例较高，经营现金流转负且应收账款、存货继续增长，说明订单兑现、项目验收和客户回款对业绩影响较大。未来能否在保持收入增长的同时改善液冷业务毛利率、降低营运资金占用，将是业绩弹性的重要验证因素。</w:t>
      </w:r>
    </w:p>
    <w:p>
      <w:pPr>
        <w:spacing w:after="160" w:line="300"/>
      </w:pPr>
      <w:r>
        <w:rPr>
          <w:sz w:val="22"/>
          <w:szCs w:val="22"/>
        </w:rPr>
        <w:t xml:space="preserve">市场层面，公司当前估值处于较高水平，不同机构对2026年归母净利润预测为0.83亿至1.37亿元，分歧较大，估值消化需要利润持续快速增长予以支撑。技术上中期均线和MACD仍相对积极，但股价处于高换手、高波动状态，后续表现将受到业绩兑现、东莞硅翔交易进展、液冷业务毛利率及市场资金情绪等因素共同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高澜股份(300499)_公司公告_高澜股份：2025年年度报告新浪财经_新浪网 — https://money.finance.sina.com.cn/corp/view/vCB_AllBulletinDetail.php?id=12164098&amp;stockid=300499</w:t>
      </w:r>
    </w:p>
    <w:p>
      <w:pPr>
        <w:spacing w:after="200"/>
      </w:pPr>
      <w:r>
        <w:rPr>
          <w:i/>
          <w:iCs/>
          <w:color w:val="595959"/>
          <w:sz w:val="18"/>
          <w:szCs w:val="18"/>
        </w:rPr>
        <w:t xml:space="preserve">高澜股份(300499)_公司公告_高澜股份：2024年年度报告新浪财经_新浪网 — https://money.finance.sina.com.cn/corp/view/vCB_AllBulletinDetail.php?id=10972594&amp;stockid=300499</w:t>
      </w:r>
    </w:p>
    <w:p>
      <w:pPr>
        <w:spacing w:after="200"/>
      </w:pPr>
      <w:r>
        <w:rPr>
          <w:i/>
          <w:iCs/>
          <w:color w:val="595959"/>
          <w:sz w:val="18"/>
          <w:szCs w:val="18"/>
        </w:rPr>
        <w:t xml:space="preserve">公司公告_高澜股份：2022年年度报告新浪财经_新浪网 — https://vip.stock.finance.sina.com.cn/corp/view/vCB_AllBulletinDetail.php?id=9086257&amp;utm_source=openai</w:t>
      </w:r>
    </w:p>
    <w:p>
      <w:pPr>
        <w:spacing w:after="200"/>
      </w:pPr>
      <w:r>
        <w:rPr>
          <w:i/>
          <w:iCs/>
          <w:color w:val="595959"/>
          <w:sz w:val="18"/>
          <w:szCs w:val="18"/>
        </w:rPr>
        <w:t xml:space="preserve">高澜股份(300499)_公司公告_高澜股份：2023年年度报告新浪财经_新浪网 — https://money.finance.sina.com.cn/corp/view/vCB_AllBulletinDetail.php?id=10075215&amp;stockid=300499&amp;utm_source=openai</w:t>
      </w:r>
    </w:p>
    <w:p>
      <w:pPr>
        <w:spacing w:after="200"/>
      </w:pPr>
      <w:r>
        <w:rPr>
          <w:i/>
          <w:iCs/>
          <w:color w:val="595959"/>
          <w:sz w:val="18"/>
          <w:szCs w:val="18"/>
        </w:rPr>
        <w:t xml:space="preserve">高澜股份(300499)_公司公告_高澜股份：2023年度创业板向特定对象发行股票募集说明书(注册稿更新)新浪财经_新浪网 — https://vip.stock.finance.sina.com.cn/corp/view/vCB_AllBulletinDetail.php?id=10479514&amp;stockid=300499&amp;utm_source=openai</w:t>
      </w:r>
    </w:p>
    <w:p>
      <w:pPr>
        <w:spacing w:after="200"/>
      </w:pPr>
      <w:r>
        <w:rPr>
          <w:i/>
          <w:iCs/>
          <w:color w:val="595959"/>
          <w:sz w:val="18"/>
          <w:szCs w:val="18"/>
        </w:rPr>
        <w:t xml:space="preserve">广东申菱环境系统股份有限公司                                 招股说明书（上会稿） — https://reportdocs.static.szse.cn/UpFiles/rasinfodisc/RAS_000176309EF99B3FCB6AE013C42A103F.pdf?utm_source=openai</w:t>
      </w:r>
    </w:p>
    <w:p>
      <w:pPr>
        <w:spacing w:after="200"/>
      </w:pPr>
      <w:r>
        <w:rPr>
          <w:i/>
          <w:iCs/>
          <w:color w:val="595959"/>
          <w:sz w:val="18"/>
          <w:szCs w:val="18"/>
        </w:rPr>
        <w:t xml:space="preserve">公司公告_同飞股份：首次公开发行股票并在创业板上市招股说明书新浪财经_新浪网 — https://vip.stock.finance.sina.com.cn/corp/view/vCB_AllBulletinDetail.php?id=7089784&amp;utm_source=openai</w:t>
      </w:r>
    </w:p>
    <w:p>
      <w:pPr>
        <w:spacing w:after="200"/>
      </w:pPr>
      <w:r>
        <w:rPr>
          <w:i/>
          <w:iCs/>
          <w:color w:val="595959"/>
          <w:sz w:val="18"/>
          <w:szCs w:val="18"/>
        </w:rPr>
        <w:t xml:space="preserve">川润股份 2026 年度向特定对象发行 A 股股票　募集说明书（申报稿） — https://static.cninfo.com.cn/finalpage/2026-08-13/1225471076.PDF?utm_source=openai</w:t>
      </w:r>
    </w:p>
    <w:p>
      <w:pPr>
        <w:spacing w:after="200"/>
      </w:pPr>
      <w:r>
        <w:rPr>
          <w:i/>
          <w:iCs/>
          <w:color w:val="595959"/>
          <w:sz w:val="18"/>
          <w:szCs w:val="18"/>
        </w:rPr>
        <w:t xml:space="preserve">高澜股份(300499)_公司公告_高澜股份：2026年半年度报告新浪财经_新浪网 — https://money.finance.sina.com.cn/corp/view/vCB_AllBulletinDetail.php?id=12516091&amp;stockid=300499</w:t>
      </w:r>
    </w:p>
    <w:p>
      <w:pPr>
        <w:spacing w:after="200"/>
      </w:pPr>
      <w:r>
        <w:rPr>
          <w:i/>
          <w:iCs/>
          <w:color w:val="595959"/>
          <w:sz w:val="18"/>
          <w:szCs w:val="18"/>
        </w:rPr>
        <w:t xml:space="preserve">高澜股份(300499)_公司公告_高澜股份：2025年年度报告新浪财经_新浪网 — https://money.finance.sina.com.cn/corp/view/vCB_AllBulletinDetail.php?id=12164098&amp;stockid=300499&amp;utm_source=openai</w:t>
      </w:r>
    </w:p>
    <w:p>
      <w:pPr>
        <w:spacing w:after="200"/>
      </w:pPr>
      <w:r>
        <w:rPr>
          <w:i/>
          <w:iCs/>
          <w:color w:val="595959"/>
          <w:sz w:val="18"/>
          <w:szCs w:val="18"/>
        </w:rPr>
        <w:t xml:space="preserve">高澜股份(300499) 盈利预测_F10_同花顺金融服务网 — https://basic.10jqka.com.cn/300499/worth.html?utm_source=openai</w:t>
      </w:r>
    </w:p>
    <w:p>
      <w:pPr>
        <w:spacing w:after="200"/>
      </w:pPr>
      <w:r>
        <w:rPr>
          <w:i/>
          <w:iCs/>
          <w:color w:val="595959"/>
          <w:sz w:val="18"/>
          <w:szCs w:val="18"/>
        </w:rPr>
        <w:t xml:space="preserve">国信证券-高澜股份(300499)特高压纯水冷却设备龙头，数据中心液冷打造第二成长曲线-250916.pdf — https://pdf.dfcfw.com/pdf/H3_AP202509161744822098_1.pdf</w:t>
      </w:r>
    </w:p>
    <w:p>
      <w:pPr>
        <w:spacing w:after="200"/>
      </w:pPr>
      <w:r>
        <w:rPr>
          <w:i/>
          <w:iCs/>
          <w:color w:val="595959"/>
          <w:sz w:val="18"/>
          <w:szCs w:val="18"/>
        </w:rPr>
        <w:t xml:space="preserve">东北证券-高澜股份(300499)电力业务稳健增长，AIDC打开第二成长曲线-260303 — https://www.nxny.com/report/view_6227353.html</w:t>
      </w:r>
    </w:p>
    <w:p>
      <w:pPr>
        <w:spacing w:after="200"/>
      </w:pPr>
      <w:r>
        <w:rPr>
          <w:i/>
          <w:iCs/>
          <w:color w:val="595959"/>
          <w:sz w:val="18"/>
          <w:szCs w:val="18"/>
        </w:rPr>
        <w:t xml:space="preserve">盈利预测 — https://webf10.gw.com.cn/SZ/B16/SZ300499_B16.html</w:t>
      </w:r>
    </w:p>
    <w:p>
      <w:pPr>
        <w:spacing w:after="200"/>
      </w:pPr>
      <w:r>
        <w:rPr>
          <w:i/>
          <w:iCs/>
          <w:color w:val="595959"/>
          <w:sz w:val="18"/>
          <w:szCs w:val="18"/>
        </w:rPr>
        <w:t xml:space="preserve">高澜股份(300499)股票历史数据:历史行情,价格,走势图表_英为财情Investing.com — https://cn.investing.com/equities/guangzhou-goaland-energy-historical-data?utm_source=openai</w:t>
      </w:r>
    </w:p>
    <w:p>
      <w:pPr>
        <w:spacing w:after="200"/>
      </w:pPr>
      <w:r>
        <w:rPr>
          <w:i/>
          <w:iCs/>
          <w:color w:val="595959"/>
          <w:sz w:val="18"/>
          <w:szCs w:val="18"/>
        </w:rPr>
        <w:t xml:space="preserve">高澜股份(300499)个股分析_牛叉诊股_同花顺财经 — https://doctor.10jqka.com.cn/300499/?utm_source=openai</w:t>
      </w:r>
    </w:p>
    <w:p>
      <w:pPr>
        <w:spacing w:after="200"/>
      </w:pPr>
      <w:r>
        <w:rPr>
          <w:i/>
          <w:iCs/>
          <w:color w:val="595959"/>
          <w:sz w:val="18"/>
          <w:szCs w:val="18"/>
        </w:rPr>
        <w:t xml:space="preserve">高澜股份：出售东莞硅翔股权获深交所审核通过_新浪财经_新浪网 — https://finance.sina.com.cn/roll/2026-09-08/doc-inirceww4602525.shtml?utm_source=openai</w:t>
      </w:r>
    </w:p>
    <w:p>
      <w:pPr>
        <w:spacing w:after="200"/>
      </w:pPr>
      <w:r>
        <w:rPr>
          <w:i/>
          <w:iCs/>
          <w:color w:val="595959"/>
          <w:sz w:val="18"/>
          <w:szCs w:val="18"/>
        </w:rPr>
        <w:t xml:space="preserve">高澜股份(300499)_公司公告_高澜股份：关于出售参股公司股权的进展公告新浪财经_新浪网 — https://vip.stock.finance.sina.com.cn/corp/view/vCB_AllBulletinDetail.php?CompanyCode=80198676&amp;gather=1&amp;id=12589386&amp;utm_source=openai</w:t>
      </w:r>
    </w:p>
    <w:p>
      <w:pPr>
        <w:spacing w:after="200"/>
      </w:pPr>
      <w:r>
        <w:rPr>
          <w:i/>
          <w:iCs/>
          <w:color w:val="595959"/>
          <w:sz w:val="18"/>
          <w:szCs w:val="18"/>
        </w:rPr>
        <w:t xml:space="preserve">高澜股份(300499)_公司公告_高澜股份：2026年半年度报告新浪财经_新浪网 — https://vip.stock.finance.sina.com.cn/corp/view/vCB_AllBulletinDetail.php?id=12516091&amp;stockid=300499&amp;utm_source=openai</w:t>
      </w:r>
    </w:p>
    <w:p>
      <w:pPr>
        <w:spacing w:after="200"/>
      </w:pPr>
      <w:r>
        <w:rPr>
          <w:i/>
          <w:iCs/>
          <w:color w:val="595959"/>
          <w:sz w:val="18"/>
          <w:szCs w:val="18"/>
        </w:rPr>
        <w:t xml:space="preserve">证券代码：300499　　证券简称：高澜股份　　公告编号：2026-004 — https://disc.static.szse.cn/disc/disk03/finalpage/2026-03-28/3f6ade52-0698-4880-9c21-43095885d1e4.PDF?utm_source=openai</w:t>
      </w:r>
    </w:p>
    <w:p>
      <w:pPr>
        <w:spacing w:after="200"/>
      </w:pPr>
      <w:r>
        <w:rPr>
          <w:i/>
          <w:iCs/>
          <w:color w:val="595959"/>
          <w:sz w:val="18"/>
          <w:szCs w:val="18"/>
        </w:rPr>
        <w:t xml:space="preserve">高澜股份(300499)_公司公告_高澜股份：2026年第三次临时股东会决议公告新浪财经_新浪网 — https://vip.stock.finance.sina.com.cn/corp/view/vCB_AllBulletinDetail.php?CompanyCode=80198676&amp;gather=1&amp;id=12588073&amp;utm_source=openai</w:t>
      </w:r>
    </w:p>
    <w:p>
      <w:pPr>
        <w:spacing w:after="200"/>
      </w:pPr>
      <w:r>
        <w:rPr>
          <w:i/>
          <w:iCs/>
          <w:color w:val="595959"/>
          <w:sz w:val="18"/>
          <w:szCs w:val="18"/>
        </w:rPr>
        <w:t xml:space="preserve">高澜股份(300499)_公司公告_高澜股份：关于全资子公司增资扩股及公司放弃优先认购权暨关联交易的公告新浪财经_新浪网 — https://money.finance.sina.com.cn/corp/view/vCB_AllBulletinDetail.php?id=12516088&amp;stockid=300499&amp;utm_source=openai</w:t>
      </w:r>
    </w:p>
    <w:p>
      <w:pPr>
        <w:spacing w:after="200"/>
      </w:pPr>
      <w:r>
        <w:rPr>
          <w:i/>
          <w:iCs/>
          <w:color w:val="595959"/>
          <w:sz w:val="18"/>
          <w:szCs w:val="18"/>
        </w:rPr>
        <w:t xml:space="preserve">高澜股份(300499)公告(全部) - 理杏仁 — https://www.lixinger.com/equity/company/detail/sz/300499/300499/announcement?utm_source=openai</w:t>
      </w:r>
    </w:p>
    <w:p>
      <w:pPr>
        <w:spacing w:after="200"/>
      </w:pPr>
      <w:r>
        <w:rPr>
          <w:i/>
          <w:iCs/>
          <w:color w:val="595959"/>
          <w:sz w:val="18"/>
          <w:szCs w:val="18"/>
        </w:rPr>
        <w:t xml:space="preserve">高澜股份(300499)_公司公告_高澜股份：2026年半年度报告摘要新浪财经_新浪网 — https://money.finance.sina.com.cn/corp/view/vCB_AllBulletinDetail.php?id=12516079&amp;stockid=300499&amp;utm_source=openai</w:t>
      </w:r>
    </w:p>
    <w:p>
      <w:pPr>
        <w:spacing w:after="200"/>
      </w:pPr>
      <w:r>
        <w:rPr>
          <w:i/>
          <w:iCs/>
          <w:color w:val="595959"/>
          <w:sz w:val="18"/>
          <w:szCs w:val="18"/>
        </w:rPr>
        <w:t xml:space="preserve">高澜股份(300499)_公司公告_高澜股份：2026年半年度报告新浪财经_新浪网 — https://money.finance.sina.com.cn/corp/view/vCB_AllBulletinDetail.php?id=12516091&amp;stockid=300499&amp;utm_source=openai</w:t>
      </w:r>
    </w:p>
    <w:p>
      <w:pPr>
        <w:spacing w:after="200"/>
      </w:pPr>
      <w:r>
        <w:rPr>
          <w:i/>
          <w:iCs/>
          <w:color w:val="595959"/>
          <w:sz w:val="18"/>
          <w:szCs w:val="18"/>
        </w:rPr>
        <w:t xml:space="preserve">高澜股份十大流通股东格局生变：罗彬等新进，瑞银集团等退出，易方达国证新能源电池ETF等减持_新浪财经_新浪网 — https://finance.sina.com.cn/stock/aiassist/sdltgdbh/2026-08-22/doc-inipeims0744876.shtml?utm_source=openai</w:t>
      </w:r>
    </w:p>
    <w:p>
      <w:pPr>
        <w:spacing w:after="200"/>
      </w:pPr>
      <w:r>
        <w:rPr>
          <w:i/>
          <w:iCs/>
          <w:color w:val="595959"/>
          <w:sz w:val="18"/>
          <w:szCs w:val="18"/>
        </w:rPr>
        <w:t xml:space="preserve">爱克股份：重组事项获审核通过_新浪财经_新浪网 — https://finance.sina.com.cn/jjxw/2026-09-08/doc-iniracmh6098697.shtml?utm_source=openai</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高澜股份(300499) - 股票行情 | 本源量化 — https://www.benyuanlz.com/stock?code=300499&amp;utm_source=openai</w:t>
      </w:r>
    </w:p>
    <w:p>
      <w:pPr>
        <w:spacing w:after="200"/>
      </w:pPr>
      <w:r>
        <w:rPr>
          <w:i/>
          <w:iCs/>
          <w:color w:val="595959"/>
          <w:sz w:val="18"/>
          <w:szCs w:val="18"/>
        </w:rPr>
        <w:t xml:space="preserve">高澜股份(300499) 最新动态_F10_同花顺金融服务网 — https://basic.10jqka.com.cn/144/300499/?utm_source=openai</w:t>
      </w:r>
    </w:p>
    <w:p>
      <w:pPr>
        <w:spacing w:after="200"/>
      </w:pPr>
      <w:r>
        <w:rPr>
          <w:i/>
          <w:iCs/>
          <w:color w:val="595959"/>
          <w:sz w:val="18"/>
          <w:szCs w:val="18"/>
        </w:rPr>
        <w:t xml:space="preserve">高澜股份(300499)股票最新价格行情,实时走势图,股价分析预测_英为财情Investing.com — https://cn.investing.com/equities/guangzhou-goaland-energy?utm_source=openai</w:t>
      </w:r>
    </w:p>
    <w:p>
      <w:pPr>
        <w:spacing w:after="200"/>
      </w:pPr>
      <w:r>
        <w:rPr>
          <w:i/>
          <w:iCs/>
          <w:color w:val="595959"/>
          <w:sz w:val="18"/>
          <w:szCs w:val="18"/>
        </w:rPr>
        <w:t xml:space="preserve">南洋商业银行 — https://content5.etninfo.com/content/ncbwebV2/asharecontent/sc/ashare_quote.php?code=300499&amp;utm_source=openai</w:t>
      </w:r>
    </w:p>
    <w:p>
      <w:pPr>
        <w:spacing w:after="200"/>
      </w:pPr>
      <w:r>
        <w:rPr>
          <w:i/>
          <w:iCs/>
          <w:color w:val="595959"/>
          <w:sz w:val="18"/>
          <w:szCs w:val="18"/>
        </w:rPr>
        <w:t xml:space="preserve">高澜股份(300499)股票历史数据:历史行情,价格,走势图表_英为财情Investing.com — https://cn.investing.com/equities/guangzhou-goaland-energy-historical-data</w:t>
      </w:r>
    </w:p>
    <w:p>
      <w:pPr>
        <w:spacing w:after="200"/>
      </w:pPr>
      <w:r>
        <w:rPr>
          <w:i/>
          <w:iCs/>
          <w:color w:val="595959"/>
          <w:sz w:val="18"/>
          <w:szCs w:val="18"/>
        </w:rPr>
        <w:t xml:space="preserve">高澜股份(300499)股票行情走势技术分析_未来预测_买卖操作建议_英为财情Investing.com — https://cn.investing.com/equities/guangzhou-goaland-energy-technical?utm_source=openai</w:t>
      </w:r>
    </w:p>
    <w:p>
      <w:pPr>
        <w:spacing w:after="200"/>
      </w:pPr>
      <w:r>
        <w:rPr>
          <w:i/>
          <w:iCs/>
          <w:color w:val="595959"/>
          <w:sz w:val="18"/>
          <w:szCs w:val="18"/>
        </w:rPr>
        <w:t xml:space="preserve">高澜股份(300499)股票行情走势技术分析_未来预测_买卖操作建议_英为财情Investing.com — https://cn.investing.com/equities/guangzhou-goaland-energy-technical</w:t>
      </w:r>
    </w:p>
    <w:p>
      <w:pPr>
        <w:spacing w:after="200"/>
      </w:pPr>
      <w:r>
        <w:rPr>
          <w:i/>
          <w:iCs/>
          <w:color w:val="595959"/>
          <w:sz w:val="18"/>
          <w:szCs w:val="18"/>
        </w:rPr>
        <w:t xml:space="preserve">高澜股份收盘价31.5元，RSI6为68.34 — https://news.10jqka.com.cn/20260827/c679350700.shtml?utm_source=openai</w:t>
      </w:r>
    </w:p>
    <w:p>
      <w:pPr>
        <w:spacing w:after="200"/>
      </w:pPr>
      <w:r>
        <w:rPr>
          <w:i/>
          <w:iCs/>
          <w:color w:val="595959"/>
          <w:sz w:val="18"/>
          <w:szCs w:val="18"/>
        </w:rPr>
        <w:t xml:space="preserve">高澜股份(300499)个股资讯_新浪财经_新浪网 — https://vip.stock.finance.sina.com.cn/corp/go.php/vCB_AllNewsStock/symbol/sz300499.phtml?utm_source=openai</w:t>
      </w:r>
    </w:p>
    <w:p>
      <w:pPr>
        <w:spacing w:after="200"/>
      </w:pPr>
      <w:r>
        <w:rPr>
          <w:i/>
          <w:iCs/>
          <w:color w:val="595959"/>
          <w:sz w:val="18"/>
          <w:szCs w:val="18"/>
        </w:rPr>
        <w:t xml:space="preserve">高澜股份(300499) 股东研究_F10_同花顺金融服务网 — https://basic.10jqka.com.cn/300499/holder.html</w:t>
      </w:r>
    </w:p>
    <w:p>
      <w:pPr>
        <w:spacing w:after="200"/>
      </w:pPr>
      <w:r>
        <w:rPr>
          <w:i/>
          <w:iCs/>
          <w:color w:val="595959"/>
          <w:sz w:val="18"/>
          <w:szCs w:val="18"/>
        </w:rPr>
        <w:t xml:space="preserve">本报告由AI基于公开渠道信息自动检索、整理并生成，信息截至 截至2026年9月11日收盘；均线、MACD及RSI部分指标主要对应2026年9月10日，股东数据截至2026年6月30日，部分技术指标为基于历史收盘价的辅助测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2026-09-13T15:19:06.368Z</dcterms:created>
  <dcterms:modified xsi:type="dcterms:W3CDTF">2026-09-13T15:19:06.368Z</dcterms:modified>
</cp:coreProperties>
</file>

<file path=docProps/custom.xml><?xml version="1.0" encoding="utf-8"?>
<Properties xmlns="http://schemas.openxmlformats.org/officeDocument/2006/custom-properties" xmlns:vt="http://schemas.openxmlformats.org/officeDocument/2006/docPropsVTypes"/>
</file>