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深圳市星源材质科技股份有限公司 (300568)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行业：锂离子电池隔膜</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截至2026年9月11日收盘；技术指标及未来一周情景基于研究纪要中的历史收盘价和测算数据。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星源材质2026年上半年业绩明显修复：实现营业收入26.52亿元，同比增长39.72%；归母净利润2.04亿元，同比增长103.08%；扣非归母净利润1.73亿元，同比增长297.03%。其中，2026年第二季度归母净利润约1.75亿元，环比增长约497%，显示隔膜产品价格、产品结构及海外业务改善主要在二季度兑现。但公司2025年归母净利润仅3636.78万元，同比下降90.00%，扣非后亏损5429.09万元，2026年高增长仍包含低基数因素。</w:t>
      </w:r>
    </w:p>
    <w:p>
      <w:pPr>
        <w:spacing w:after="160" w:line="300"/>
      </w:pPr>
      <w:r>
        <w:rPr>
          <w:sz w:val="22"/>
          <w:szCs w:val="22"/>
        </w:rPr>
        <w:t xml:space="preserve">公司主营高度集中于锂离子电池隔膜，2025年隔膜业务收入40.77亿元，占营业收入98.82%，覆盖干法、湿法和涂覆隔膜。2026年上半年隔膜业务收入约26.31亿元，同比增长约39.9%，业务毛利率约29.24%，同比提升4.40个百分点；境外销售收入约8.20亿元，同比增长233.52%，海外收入占比提升至30%以上。马来西亚项目、欧洲等海外布局以及湿法、涂覆和高性能产品，有望成为后续收入和盈利修复的重要支撑。</w:t>
      </w:r>
    </w:p>
    <w:p>
      <w:pPr>
        <w:spacing w:after="160" w:line="300"/>
      </w:pPr>
      <w:r>
        <w:rPr>
          <w:sz w:val="22"/>
          <w:szCs w:val="22"/>
        </w:rPr>
        <w:t xml:space="preserve">公司盈利对行业供需、隔膜价格、材料成本及大客户议价能力较为敏感。隔膜业务毛利率已由2022年的约45.37%降至2025年的22.78%，2025年材料成本约16.82亿元，占隔膜业务营业成本的53.44%，同比增速高于隔膜收入增速；同时，前五大客户销售额占比60.24%，应收账款18.91亿元，约为2025年营业收入的45.8%，客户集中度和资金占用均需持续关注。</w:t>
      </w:r>
    </w:p>
    <w:p>
      <w:pPr>
        <w:spacing w:after="160" w:line="300"/>
      </w:pPr>
      <w:r>
        <w:rPr>
          <w:sz w:val="22"/>
          <w:szCs w:val="22"/>
        </w:rPr>
        <w:t xml:space="preserve">截至2026年9月11日，公司股价收于14.40元，滚动市盈率约153.91倍、市净率约1.94倍。股价近期处于13.88至14.97元区间震荡，9月9日放量上涨后连续回落，现价低于MA20及布林中轨约14.58元，短线资金分歧有所加大。市场对2026年盈利修复、海外产能放量及新材料业务成长已有较强预期，估值对后续业绩兑现程度较为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300568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星源材质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2003年9月17日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2016年12月1日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制造业—化学原料和化学制品制造业，细分为锂离子电池隔膜行业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主要采用公司2025年年度报告，报告期截至2025年12月31日，公告日期为2026年3月31日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41.25亿元，同比增长16.50%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2025年主营业务集中度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锂离子电池隔膜业务收入40.77亿元，占营业收入98.82%；其他业务收入0.49亿元，占比1.18%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收入区域结构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境内收入35.57亿元，占营业收入86.22%；境外收入5.68亿元，占比13.78%，同比增长41.73%</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锂离子电池隔膜：包括干法隔膜、湿法隔膜以及陶瓷、勃姆石、纳米纤维等涂覆隔膜，2025年收入40.77亿元，占营业收入98.82%。</w:t>
      </w:r>
    </w:p>
    <w:p>
      <w:pPr>
        <w:pStyle w:val="ListParagraph"/>
        <w:numPr>
          <w:ilvl w:val="0"/>
          <w:numId w:val="2"/>
        </w:numPr>
        <w:spacing w:after="80" w:line="280"/>
      </w:pPr>
      <w:r>
        <w:rPr>
          <w:sz w:val="22"/>
          <w:szCs w:val="22"/>
        </w:rPr>
        <w:t xml:space="preserve">功能膜产品：包括高安全、高强度、低水分、低闭孔等功能膜产品；年报未披露其在干法、湿法和涂覆膜之间的具体收入占比。</w:t>
      </w:r>
    </w:p>
    <w:p>
      <w:pPr>
        <w:pStyle w:val="ListParagraph"/>
        <w:numPr>
          <w:ilvl w:val="0"/>
          <w:numId w:val="2"/>
        </w:numPr>
        <w:spacing w:after="80" w:line="280"/>
      </w:pPr>
      <w:r>
        <w:rPr>
          <w:sz w:val="22"/>
          <w:szCs w:val="22"/>
        </w:rPr>
        <w:t xml:space="preserve">其他业务：2025年收入0.49亿元，占营业收入1.18%。</w:t>
      </w:r>
    </w:p>
    <w:p>
      <w:pPr>
        <w:pStyle w:val="ListParagraph"/>
        <w:numPr>
          <w:ilvl w:val="0"/>
          <w:numId w:val="2"/>
        </w:numPr>
        <w:spacing w:after="80" w:line="280"/>
      </w:pPr>
      <w:r>
        <w:rPr>
          <w:sz w:val="22"/>
          <w:szCs w:val="22"/>
        </w:rPr>
        <w:t xml:space="preserve">下游应用覆盖新能源汽车动力电池、储能电站、电动自行车、电动工具、3C数码、航空航天及医疗等领域。公司以直销为主，按照客户需求进行定制化开发和生产。</w:t>
      </w:r>
    </w:p>
    <w:p>
      <w:pPr>
        <w:pStyle w:val="ListParagraph"/>
        <w:numPr>
          <w:ilvl w:val="0"/>
          <w:numId w:val="2"/>
        </w:numPr>
        <w:spacing w:after="80" w:line="280"/>
      </w:pPr>
      <w:r>
        <w:rPr>
          <w:sz w:val="22"/>
          <w:szCs w:val="22"/>
        </w:rPr>
        <w:t xml:space="preserve">生产与研发布局：已形成覆盖深圳、安徽、常州、江苏、南通、欧洲等地的生产基地布局，并在深圳、日本大阪、德国等地设置研发平台；2025年推进高性能锂离子电池湿法及涂覆隔膜马来西亚项目。</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星源材质位于锂电池产业链中游的隔膜环节，主营干法、湿法和涂覆隔膜。隔膜直接影响电池安全性、循环寿命、内阻、能量密度和快充性能，但企业盈利同时受到上游石化及涂覆材料成本、下游大型电池厂商采购降本以及行业供需变化的共同影响。</w:t>
      </w:r>
    </w:p>
    <w:p>
      <w:pPr>
        <w:pStyle w:val="ListParagraph"/>
        <w:numPr>
          <w:ilvl w:val="0"/>
          <w:numId w:val="2"/>
        </w:numPr>
        <w:spacing w:after="80" w:line="280"/>
      </w:pPr>
      <w:r>
        <w:rPr>
          <w:sz w:val="22"/>
          <w:szCs w:val="22"/>
        </w:rPr>
        <w:t xml:space="preserve">主要采购材料包括聚乙烯（PE）、聚丙烯（PP）、陶瓷粉、勃姆石、聚合物、白油、二氯甲烷、其他添加剂、包装材料和生产辅料。其中PE、PP是基膜生产的基础材料，陶瓷粉、勃姆石、聚合物和其他助剂主要用于涂覆膜或功能膜产品。</w:t>
      </w:r>
    </w:p>
    <w:p>
      <w:pPr>
        <w:pStyle w:val="ListParagraph"/>
        <w:numPr>
          <w:ilvl w:val="0"/>
          <w:numId w:val="2"/>
        </w:numPr>
        <w:spacing w:after="80" w:line="280"/>
      </w:pPr>
      <w:r>
        <w:rPr>
          <w:sz w:val="22"/>
          <w:szCs w:val="22"/>
        </w:rPr>
        <w:t xml:space="preserve">2025年隔膜业务材料成本约16.82亿元，占隔膜业务营业成本的53.44%，高于2024年的40.24%；材料成本同比增长67.45%，高于同期隔膜收入16.28%的增速，显示公司对石化材料和涂覆材料成本较为敏感。</w:t>
      </w:r>
    </w:p>
    <w:p>
      <w:pPr>
        <w:pStyle w:val="ListParagraph"/>
        <w:numPr>
          <w:ilvl w:val="0"/>
          <w:numId w:val="2"/>
        </w:numPr>
        <w:spacing w:after="80" w:line="280"/>
      </w:pPr>
      <w:r>
        <w:rPr>
          <w:sz w:val="22"/>
          <w:szCs w:val="22"/>
        </w:rPr>
        <w:t xml:space="preserve">2025年前五大供应商采购金额合计9.19亿元，占年度采购总额47.97%；最大供应商占采购总额13.68%。公司未披露供应商具体名称。</w:t>
      </w:r>
    </w:p>
    <w:p>
      <w:pPr>
        <w:pStyle w:val="ListParagraph"/>
        <w:numPr>
          <w:ilvl w:val="0"/>
          <w:numId w:val="2"/>
        </w:numPr>
        <w:spacing w:after="80" w:line="280"/>
      </w:pPr>
      <w:r>
        <w:rPr>
          <w:sz w:val="22"/>
          <w:szCs w:val="22"/>
        </w:rPr>
        <w:t xml:space="preserve">PE、PP及部分涂覆材料受石化价格、供需变化和产品规格影响，公司整体上对部分原材料是价格接受者，而非拥有绝对定价权的买方。年报未披露不同原材料采购价格、供应商所在地、长协比例或单一材料依赖程度，无法判断具体材料是否存在显著供应商锁定关系。</w:t>
      </w:r>
    </w:p>
    <w:p>
      <w:pPr>
        <w:pStyle w:val="ListParagraph"/>
        <w:numPr>
          <w:ilvl w:val="0"/>
          <w:numId w:val="2"/>
        </w:numPr>
        <w:spacing w:after="80" w:line="280"/>
      </w:pPr>
      <w:r>
        <w:rPr>
          <w:sz w:val="22"/>
          <w:szCs w:val="22"/>
        </w:rPr>
        <w:t xml:space="preserve">主要客户为国内外动力电池、储能电池和消费电池企业，终端需求来自新能源汽车、储能电站、电动工具、电动自行车和消费电子等领域。</w:t>
      </w:r>
    </w:p>
    <w:p>
      <w:pPr>
        <w:pStyle w:val="ListParagraph"/>
        <w:numPr>
          <w:ilvl w:val="0"/>
          <w:numId w:val="2"/>
        </w:numPr>
        <w:spacing w:after="80" w:line="280"/>
      </w:pPr>
      <w:r>
        <w:rPr>
          <w:sz w:val="22"/>
          <w:szCs w:val="22"/>
        </w:rPr>
        <w:t xml:space="preserve">年报释义列示的下游电池客户类型包括宁德时代、比亚迪、LG能源解决方案、三星SDI、中创新航、亿纬锂能、国轩高科、欣旺达等，但年报未逐一确认其均为2025年度客户，不能将该名单等同于当期客户名单。</w:t>
      </w:r>
    </w:p>
    <w:p>
      <w:pPr>
        <w:pStyle w:val="ListParagraph"/>
        <w:numPr>
          <w:ilvl w:val="0"/>
          <w:numId w:val="2"/>
        </w:numPr>
        <w:spacing w:after="80" w:line="280"/>
      </w:pPr>
      <w:r>
        <w:rPr>
          <w:sz w:val="22"/>
          <w:szCs w:val="22"/>
        </w:rPr>
        <w:t xml:space="preserve">截至2025年，公司前五大客户销售金额合计24.85亿元，占年度销售总额60.24%；第一大客户占16.23%，第二大客户占12.38%，第三至第五大客户占比分别为11.51%、11.00%和9.12%。公司未披露前五大客户具体名称，因此无法确认其分别对应哪些电池企业。</w:t>
      </w:r>
    </w:p>
    <w:p>
      <w:pPr>
        <w:pStyle w:val="ListParagraph"/>
        <w:numPr>
          <w:ilvl w:val="0"/>
          <w:numId w:val="2"/>
        </w:numPr>
        <w:spacing w:after="80" w:line="280"/>
      </w:pPr>
      <w:r>
        <w:rPr>
          <w:sz w:val="22"/>
          <w:szCs w:val="22"/>
        </w:rPr>
        <w:t xml:space="preserve">隔膜行业具有客户认证和规模采购特征。通过较长周期的性能验证和批量认证后，隔膜企业可获得相对稳定的供应关系；但大型电池厂商采购集中，通常会对价格、交付、良率和年度降本提出要求，行业供给增加时下游议价能力会进一步增强。</w:t>
      </w:r>
    </w:p>
    <w:p>
      <w:pPr>
        <w:pStyle w:val="ListParagraph"/>
        <w:numPr>
          <w:ilvl w:val="0"/>
          <w:numId w:val="2"/>
        </w:numPr>
        <w:spacing w:after="80" w:line="280"/>
      </w:pPr>
      <w:r>
        <w:rPr>
          <w:sz w:val="22"/>
          <w:szCs w:val="22"/>
        </w:rPr>
        <w:t xml:space="preserve">截至2025年12月31日，应收账款18.91亿元、营业收入41.25亿元，应收账款/营业收入约45.8%；存货7.62亿元，合同负债0.18亿元。2025年经营活动现金流净额为7.53亿元，较2024年明显改善，但应收账款仍接近营业收入一半，反映公司需要为大型电池客户提供一定账期，下游客户资金占用和结算周期仍是重要变量。年报未提供完整应收账款周转天数、主要客户账期及逐一客户应收账款信息，无法进一步判断不同客户付款条件差异。</w:t>
      </w:r>
    </w:p>
    <w:p>
      <w:pPr>
        <w:pStyle w:val="ListParagraph"/>
        <w:numPr>
          <w:ilvl w:val="0"/>
          <w:numId w:val="2"/>
        </w:numPr>
        <w:spacing w:after="80" w:line="280"/>
      </w:pPr>
      <w:r>
        <w:rPr>
          <w:sz w:val="22"/>
          <w:szCs w:val="22"/>
        </w:rPr>
        <w:t xml:space="preserve">客户集中度数据为2025年度口径：前五大客户销售额占比60.24%，前五大供应商采购额占比47.97%。客户和供应商均为匿名化披露，无法确认具体名称及单一材料依赖关系；上述集中度数据基于公司2025年年度报告，当前纪要未提供其他年度数据进行交叉比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约37.80%（公司整体毛利率口径）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约15.33%（销售净利率）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新能源汽车和动力电池需求快速增长，隔膜供需关系较好，产销量和产品价格提升，规模效应开始显现。该年度为公司整体口径，与2022—2025年隔膜业务毛利率不完全可比。</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约45.37%（隔膜业务）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约24.97%（按营业收入计算；归母净利润约7.19亿元）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行业景气度较高、隔膜供需偏紧，产能释放、产品结构改善和客户拓展共同推动盈利能力提升。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约44.42%（隔膜业务）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约19.13%（按营业收入计算；归母净利润约5.76亿元）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收入继续增长，但行业供给扩张、竞争加剧，隔膜价格和单位盈利开始承压，净利率较2022年回落。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约28.79%（隔膜业务）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约10.27%（按营业收入计算；归母净利润约3.64亿元）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行业由供需偏紧转向供给增加，电池厂商加强成本管控、产品价格下降；新增产能折旧和爬坡成本进一步影响盈利。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22.78%（隔膜业务）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约0.88%（按营业收入计算；归母净利润约0.36亿元）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市场竞争加剧导致隔膜产品毛利率下降；海外产能布局带来投入和费用增加，汇率波动及部分资产减值进一步压缩利润。扣除非经常性损益后净利润亏损约0.54亿元；公司称2025年第四季度隔膜产品价格已有企稳迹象。</w:t>
            </w:r>
          </w:p>
        </w:tc>
      </w:tr>
    </w:tbl>
    <w:p>
      <w:pPr>
        <w:spacing w:before="200"/>
      </w:pPr>
    </w:p>
    <w:p>
      <w:pPr>
        <w:spacing w:after="160" w:line="300"/>
      </w:pPr>
      <w:r>
        <w:rPr>
          <w:sz w:val="22"/>
          <w:szCs w:val="22"/>
        </w:rPr>
        <w:t xml:space="preserve">星源材质处于锂电池产业链中游的关键隔膜材料环节，属于技术和客户认证具有壁垒、但产品价格受大型电池厂商和行业供需影响较大的制造型材料企业，整体更接近中游加工制造的利润结构。进一步改善利润主要取决于隔膜价格企稳、产能利用率提升、材料和制造成本下降、涂覆及超薄高端产品占比提升，以及海外产能投放后的客户和订单消化；公司并非矿产资源企业，不适用煤炭、锂矿等自然资源储量逻辑。</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同比增长39.72%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归母净利润2.04亿元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同比增长103.08%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同比增长55.8%，环比增长45.4%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归母净利润约1.75亿元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同比增长225%，环比增长约497%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同比增长16.50%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归母净利润3636.78万元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同比下降90.00%</w:t>
            </w:r>
          </w:p>
        </w:tc>
      </w:tr>
    </w:tbl>
    <w:p>
      <w:pPr>
        <w:spacing w:after="200"/>
      </w:pPr>
      <w:r>
        <w:rPr>
          <w:i/>
          <w:iCs/>
          <w:color w:val="595959"/>
          <w:sz w:val="18"/>
          <w:szCs w:val="18"/>
        </w:rPr>
        <w:t xml:space="preserve">2026年上半年扣非归母净利润1.73亿元，同比增长297.03%；基本每股收益0.15元，加权平均净资产收益率2.08%。2026年上半年经营活动产生的现金流量净额为3.91亿元，同比下降27.06%。2025年度扣非归母净利润亏损5429.09万元，同比下降119.22%；2025年度经营活动现金流净额为7.53亿元，同比增长104.24%。</w:t>
      </w:r>
    </w:p>
    <w:p>
      <w:pPr>
        <w:spacing w:after="160" w:line="300"/>
      </w:pPr>
      <w:r>
        <w:rPr>
          <w:sz w:val="22"/>
          <w:szCs w:val="22"/>
        </w:rPr>
        <w:t xml:space="preserve">公司2026年上半年收入和利润明显改善，二季度业绩环比加速，隔膜产品价格、产品结构及海外业务改善主要在二季度兑现。2026年上半年锂电隔膜业务收入约26.31亿元，同比增长约39.9%，业务毛利率约29.24%，同比提升4.40个百分点；境外销售收入约8.20亿元，同比增长233.52%，海外收入占比提升至30%以上。需要关注经营现金流低于利润增速，以及应收账款、存货和海外扩张对现金流的影响。2026年业绩高增长包含2025年低利润基数因素。</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预测分别来自东吴证券、光大证券、长城证券和国联民生证券公开研报，具体机构与版本存在差异。东吴证券一组预测为2026—2028年收入61.74/81.43/105.79亿元、归母净利润7.48/12.83/18.27亿元；另一版本仅披露归母净利润7.40/13.90/16.70亿元。综合公开研报，2026年收入预测大致集中在60亿—62亿元、归母净利润约7.1亿—7.8亿元；2027年归母净利润预测约11.2亿—15.2亿元，2028年约15.8亿—21.6亿元。上述预测不是公司正式业绩指引，也不能视为统一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约61.74亿元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约7.48亿元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约81.43亿元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约12.83亿元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约105.79亿元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约18.27亿元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13.90亿元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约89%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15.75亿元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61.17亿元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79.41亿元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95.20亿元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62.14亿元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7.19亿元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88.09亿元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106.90亿元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19.99亿元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60.46亿元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92.29亿元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117.78亿元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预测2026—2028年归母净利润约7.48/12.83/18.27亿元；另一份半年报点评预测为7.40/13.90/16.70亿元。公开页面未显示明确目标价。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预计2026—2028年EPS为0.48/0.77/1.05元；公开研报摘要未披露明确目标价。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预计2026—2028年归母净利润为7.07/11.22/16.34亿元，EPS为0.47/0.75/1.09元；未披露明确目标价。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一份报告预计2026—2028年归母净利润为7.19/15.03/19.99亿元；另一份深度报告评级为“推荐”，预计为7.80/15.22/21.57亿元。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截至2026年8月17日的近6个月统计</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目标价不超过18元，预测2026年归母净利润7.48亿元。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近6个月机构评级统计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买入2家、增持2家、推荐1家、跑赢行业1家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截至2026年8月17日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同花顺汇总共6家机构；2026年归母净利润预测最高约8.00亿元、最低约6.22亿元、平均约7.31亿元；目标价最高18.40元、最低18.00元、平均约18.20元。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第三方研报统计平台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看好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近180天8家机构综合评级为“看好”；4家机构样本的一致目标价中位数为17.32元，四分位区间为16.24元—18.00元。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富途分析师汇总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强力推荐71.43%、买入28.57%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近三个月14位分析师；目标价平均值18.95元，最高19.90元，最低18.00元。页面未完整披露所有分析师和机构明细。</w:t>
            </w:r>
          </w:p>
        </w:tc>
      </w:tr>
    </w:tbl>
    <w:p>
      <w:pPr>
        <w:spacing w:before="200"/>
      </w:pPr>
    </w:p>
    <w:p>
      <w:pPr>
        <w:spacing w:after="160" w:line="300"/>
      </w:pPr>
      <w:r>
        <w:rPr>
          <w:sz w:val="22"/>
          <w:szCs w:val="22"/>
        </w:rPr>
        <w:t xml:space="preserve">截至2026年9月10日收盘，公司股价14.74元，总市值约220.40亿元，滚动市盈率约160倍，市净率约2.02倍。2026年9月11日盘中另一数据源显示股价约14.50元、总市值约216.8亿元、PE（TTM）约154.98倍、PB约1.99倍，该数据不与9月10日收盘数据混用。按9月10日收盘市值计算，以2026年上半年归母净利润简单年化，全年利润约4.08亿元，对应静态年化PE约54倍；以机构2026年归母净利润平均预测约7.31亿元计算，远期PE约30.1倍；以东吴证券7.48亿元预测计算约29.5倍，以长城证券7.07亿元预测计算约31.2倍。以东吴证券2027年13.9亿元和2028年16.7亿元预测计算，PE分别约15.9倍和13.2倍。按机构普遍预测的2026年EPS约0.47—0.48元，14.74元股价对应动态PE约30.7—31.4倍。当前TTM PE约155—160倍，主要由于2025年利润基数较低，参考价值有限；若2026年盈利预测兑现，估值可能切换至约30倍2026年PE，若2027—2028年预测兑现，可能进一步降至约13—17倍。但当前估值已隐含隔膜价格修复、海外产能放量及新材料业务成长等较强预期。机构目标价主要集中在18.0—18.4元，部分第三方平台平均目标价约18.95元，相较14.74元收盘价对应隐含上涨空间约22%—29%，但目标价样本有限且依赖盈利预测兑现。重点跟踪隔膜产品实际涨价幅度、湿法及涂覆隔膜单位盈利、马来西亚和美国基地投产进度、海外收入增速、存货及应收账款变化、邦瓷电子并表后的盈利贡献，以及经营现金流能否跟随利润恢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新增境外项目融资担保</w:t>
      </w:r>
    </w:p>
    <w:p>
      <w:pPr>
        <w:spacing w:after="160" w:line="300"/>
      </w:pPr>
      <w:r>
        <w:rPr>
          <w:sz w:val="22"/>
          <w:szCs w:val="22"/>
        </w:rPr>
        <w:t xml:space="preserve">2026年9月8日，公司披露《关于公司及子公司为子公司提供担保的进展公告》（公告编号：2026-067）。全资二级子公司英诺威新材料科技（马来西亚）有限公司因生产项目建设需要，向银团申请最高不超过118,473,495欧元的定期贷款，由德国商业银行担任代理行、Hermes出口信用保险承保。公司及全资子公司英诺威（新加坡）有限公司分别提供不超过118,473,495欧元的连带责任保证担保，属于内保外贷，需按规定办理登记。截至公告披露日，公司及子公司实际担保余额为654,860.55万元，占公司2025年经审计净资产的66.40%；公司提示担保总额超过最近一期经审计净资产100%的风险。公司不存在逾期担保，也不存在为控股股东、实际控制人及其关联方提供担保的情况。</w:t>
      </w:r>
    </w:p>
    <w:p>
      <w:pPr>
        <w:pStyle w:val="Heading2"/>
        <w:spacing w:after="120" w:before="240"/>
      </w:pPr>
      <w:r>
        <w:rPr>
          <w:b/>
          <w:bCs/>
          <w:color w:val="2E74B5"/>
          <w:sz w:val="24"/>
          <w:szCs w:val="24"/>
        </w:rPr>
        <w:t xml:space="preserve">4.2 召开临时股东会审议收购邦瓷电子</w:t>
      </w:r>
    </w:p>
    <w:p>
      <w:pPr>
        <w:spacing w:after="160" w:line="300"/>
      </w:pPr>
      <w:r>
        <w:rPr>
          <w:sz w:val="22"/>
          <w:szCs w:val="22"/>
        </w:rPr>
        <w:t xml:space="preserve">2026年9月5日，公司披露《关于召开2026年第六次临时股东会的通知》（公告编号：2026-066）。公司拟于2026年9月23日召开2026年第六次临时股东会，股权登记日为2026年9月17日。会议唯一核心议案为《关于对外投资收购邦瓷电子股权暨签署股权转让协议的议案》。收购方案能否继续推进，尚需股东会审议通过。</w:t>
      </w:r>
    </w:p>
    <w:p>
      <w:pPr>
        <w:pStyle w:val="Heading2"/>
        <w:spacing w:after="120" w:before="240"/>
      </w:pPr>
      <w:r>
        <w:rPr>
          <w:b/>
          <w:bCs/>
          <w:color w:val="2E74B5"/>
          <w:sz w:val="24"/>
          <w:szCs w:val="24"/>
        </w:rPr>
        <w:t xml:space="preserve">4.3 拟现金收购邦瓷电子59.9806%股权</w:t>
      </w:r>
    </w:p>
    <w:p>
      <w:pPr>
        <w:spacing w:after="160" w:line="300"/>
      </w:pPr>
      <w:r>
        <w:rPr>
          <w:sz w:val="22"/>
          <w:szCs w:val="22"/>
        </w:rPr>
        <w:t xml:space="preserve">2026年8月13日，公司披露公告编号2026-056，拟以现金方式从7名股东处收购邦瓷电子科技（盐城）有限责任公司合计59.9806%的股权，分项交易对价合计约2.4183亿元。公司此前已于2026年2月以约9106.98万元取得邦瓷电子13.50%股权。本次交易完成后，公司持股比例将由13.50%提升至73.4806%，邦瓷电子将成为公司控股子公司并纳入合并报表范围。本次交易构成非同一控制下企业合并，不构成关联交易，也不构成重大资产重组，但需提交股东会审议。</w:t>
      </w:r>
    </w:p>
    <w:p>
      <w:pPr>
        <w:pStyle w:val="Heading2"/>
        <w:spacing w:after="120" w:before="240"/>
      </w:pPr>
      <w:r>
        <w:rPr>
          <w:b/>
          <w:bCs/>
          <w:color w:val="2E74B5"/>
          <w:sz w:val="24"/>
          <w:szCs w:val="24"/>
        </w:rPr>
        <w:t xml:space="preserve">4.4 邦瓷电子收购存在并表及整合不确定性</w:t>
      </w:r>
    </w:p>
    <w:p>
      <w:pPr>
        <w:spacing w:after="160" w:line="300"/>
      </w:pPr>
      <w:r>
        <w:rPr>
          <w:sz w:val="22"/>
          <w:szCs w:val="22"/>
        </w:rPr>
        <w:t xml:space="preserve">邦瓷电子主要从事多层压电陶瓷等相关业务，应用于半导体设备、精密控制、卫星激光通信、3C电子及新能源等领域。公司拟通过收购向半导体材料、精密陶瓷等新材料领域延伸。当前邦瓷电子尚未纳入公司合并报表，短期业绩贡献存在不确定性；交易未披露明确业绩承诺，未来盈利能力仍需通过并表后的财务数据验证。同时，现金支付、海外产能建设及跨入新业务领域可能带来资本开支、融资、行业经验、客户拓展和技术产业化风险。</w:t>
      </w:r>
    </w:p>
    <w:p>
      <w:pPr>
        <w:pStyle w:val="Heading2"/>
        <w:spacing w:after="120" w:before="240"/>
      </w:pPr>
      <w:r>
        <w:rPr>
          <w:b/>
          <w:bCs/>
          <w:color w:val="2E74B5"/>
          <w:sz w:val="24"/>
          <w:szCs w:val="24"/>
        </w:rPr>
        <w:t xml:space="preserve">4.5 2026年半年度业绩同比明显修复</w:t>
      </w:r>
    </w:p>
    <w:p>
      <w:pPr>
        <w:spacing w:after="160" w:line="300"/>
      </w:pPr>
      <w:r>
        <w:rPr>
          <w:sz w:val="22"/>
          <w:szCs w:val="22"/>
        </w:rPr>
        <w:t xml:space="preserve">2026年8月28日，公司披露2026年半年度报告及摘要。2026年上半年实现营业收入26.52亿元，同比增长39.72%；归属于上市公司股东的净利润2.04亿元，同比增长103.08%；扣除非经常性损益后的净利润1.73亿元，同比增长297.03%；经营活动产生的现金流量净额3.91亿元，同比下降27.06%；基本每股收益0.15元。截至2026年6月30日，公司总资产273.33亿元，归属于上市公司股东的净资产108.91亿元。公司全资子公司美国星源报告期内累计收到美国关税及利息退回合计390.97万美元。</w:t>
      </w:r>
    </w:p>
    <w:p>
      <w:pPr>
        <w:pStyle w:val="Heading2"/>
        <w:spacing w:after="120" w:before="240"/>
      </w:pPr>
      <w:r>
        <w:rPr>
          <w:b/>
          <w:bCs/>
          <w:color w:val="2E74B5"/>
          <w:sz w:val="24"/>
          <w:szCs w:val="24"/>
        </w:rPr>
        <w:t xml:space="preserve">4.6 2026年半年度计提资产减值准备</w:t>
      </w:r>
    </w:p>
    <w:p>
      <w:pPr>
        <w:spacing w:after="160" w:line="300"/>
      </w:pPr>
      <w:r>
        <w:rPr>
          <w:sz w:val="22"/>
          <w:szCs w:val="22"/>
        </w:rPr>
        <w:t xml:space="preserve">2026年8月28日，公司披露《关于2026年半年度计提资产减值准备的公告》（公告编号：2026-060）。公司2026年上半年合计计提资产减值准备2221.94万元，其中应收账款信用减值损失366.90万元、其他应收款信用减值损失5.23万元、应收票据信用减值损失7.62万元、存货跌价准备1842.19万元。本次计提将减少2026年半年度利润总额2221.94万元，相关数据未经审计确认。</w:t>
      </w:r>
    </w:p>
    <w:p>
      <w:pPr>
        <w:pStyle w:val="Heading2"/>
        <w:spacing w:after="120" w:before="240"/>
      </w:pPr>
      <w:r>
        <w:rPr>
          <w:b/>
          <w:bCs/>
          <w:color w:val="2E74B5"/>
          <w:sz w:val="24"/>
          <w:szCs w:val="24"/>
        </w:rPr>
        <w:t xml:space="preserve">4.7 暂无2026年前三季度业绩预告</w:t>
      </w:r>
    </w:p>
    <w:p>
      <w:pPr>
        <w:spacing w:after="160" w:line="300"/>
      </w:pPr>
      <w:r>
        <w:rPr>
          <w:sz w:val="22"/>
          <w:szCs w:val="22"/>
        </w:rPr>
        <w:t xml:space="preserve">截至2026年9月11日，未检索到公司2026年9月新发布的2026年前三季度业绩预告。公开披露的较早业绩预告为2026年1月30日发布的《2025年度业绩预告》，预计2025年归属于上市公司股东的净利润为2750万元至4050万元，扣除非经常性损益后的净利润为亏损4520万元至5820万元，相关数据为初步测算，未经会计师事务所审计。</w:t>
      </w:r>
    </w:p>
    <w:p>
      <w:pPr>
        <w:pStyle w:val="Heading2"/>
        <w:spacing w:after="120" w:before="240"/>
      </w:pPr>
      <w:r>
        <w:rPr>
          <w:b/>
          <w:bCs/>
          <w:color w:val="2E74B5"/>
          <w:sz w:val="24"/>
          <w:szCs w:val="24"/>
        </w:rPr>
        <w:t xml:space="preserve">4.8 H股发行导致控股股东持股比例被动稀释</w:t>
      </w:r>
    </w:p>
    <w:p>
      <w:pPr>
        <w:spacing w:after="160" w:line="300"/>
      </w:pPr>
      <w:r>
        <w:rPr>
          <w:sz w:val="22"/>
          <w:szCs w:val="22"/>
        </w:rPr>
        <w:t xml:space="preserve">2026年6月23日，公司H股在香港联交所主板挂牌上市。公司发行H股149,523,500股后，总股本由1,345,710,639股增加至1,495,234,139股。控股股东、实际控制人陈秀峰及其一致行动人陈蔚蓉持股数量未因减持而减少，但持股比例因总股本增加而被动稀释；该事项不涉及股东减持，亦未导致控制权发生变化。</w:t>
      </w:r>
    </w:p>
    <w:p>
      <w:pPr>
        <w:pStyle w:val="Heading2"/>
        <w:spacing w:after="120" w:before="240"/>
      </w:pPr>
      <w:r>
        <w:rPr>
          <w:b/>
          <w:bCs/>
          <w:color w:val="2E74B5"/>
          <w:sz w:val="24"/>
          <w:szCs w:val="24"/>
        </w:rPr>
        <w:t xml:space="preserve">4.9 2026年半年度前十大股东及股东变动</w:t>
      </w:r>
    </w:p>
    <w:p>
      <w:pPr>
        <w:spacing w:after="160" w:line="300"/>
      </w:pPr>
      <w:r>
        <w:rPr>
          <w:sz w:val="22"/>
          <w:szCs w:val="22"/>
        </w:rPr>
        <w:t xml:space="preserve">截至2026年6月30日，公司普通股股东总数为82,821户。陈秀峰持股170,489,491股、持股比例11.40%；HKSCC NOMINEES LIMITED持股149,523,500股、持股比例10.00%；香港中央结算有限公司持股45,007,766股、持股比例3.01%。申万菱信新能源汽车主题灵活配置混合型证券投资基金、高盛国际—自有资金、鹏华中证细分化工产业主题ETF、国信证券持股比例分别为1.25%、0.96%、0.92%和0.69%。公司控股股东和实际控制人报告期内未发生变更。截至2026年9月11日，未检索到控股股东或实际控制人近期实施减持的公告；半年报时点前十大流通股东的变化不代表当前实时持仓。</w:t>
      </w:r>
    </w:p>
    <w:p>
      <w:pPr>
        <w:pStyle w:val="Heading2"/>
        <w:spacing w:after="120" w:before="240"/>
      </w:pPr>
      <w:r>
        <w:rPr>
          <w:b/>
          <w:bCs/>
          <w:color w:val="2E74B5"/>
          <w:sz w:val="24"/>
          <w:szCs w:val="24"/>
        </w:rPr>
        <w:t xml:space="preserve">4.10 暂无2026年8月至9月新增回购及控股股东增持计划</w:t>
      </w:r>
    </w:p>
    <w:p>
      <w:pPr>
        <w:spacing w:after="160" w:line="300"/>
      </w:pPr>
      <w:r>
        <w:rPr>
          <w:sz w:val="22"/>
          <w:szCs w:val="22"/>
        </w:rPr>
        <w:t xml:space="preserve">截至2026年9月11日，未检索到公司在2026年8月至9月新披露股份回购计划、回购进展或控股股东增持计划。公司此前于2026年1月完成注销回购专用账户中的2,413,500股回购股份，该事项不属于本轮9月近期事项。</w:t>
      </w:r>
    </w:p>
    <w:p>
      <w:pPr>
        <w:pStyle w:val="Heading2"/>
        <w:spacing w:after="120" w:before="240"/>
      </w:pPr>
      <w:r>
        <w:rPr>
          <w:b/>
          <w:bCs/>
          <w:color w:val="2E74B5"/>
          <w:sz w:val="24"/>
          <w:szCs w:val="24"/>
        </w:rPr>
        <w:t xml:space="preserve">4.11 限制性股票激励计划预留部分归属</w:t>
      </w:r>
    </w:p>
    <w:p>
      <w:pPr>
        <w:spacing w:after="160" w:line="300"/>
      </w:pPr>
      <w:r>
        <w:rPr>
          <w:sz w:val="22"/>
          <w:szCs w:val="22"/>
        </w:rPr>
        <w:t xml:space="preserve">2026年8月28日，公司披露2024年限制性股票激励计划预留部分第一个归属期归属条件成就公告。本次符合归属条件的激励对象为5人，拟归属第二类限制性股票185,000股，占公告日公司总股本约0.01%，调整后的授予价格为3.69元/股，股份来源为公司向激励对象定向发行的A股普通股。</w:t>
      </w:r>
    </w:p>
    <w:p>
      <w:pPr>
        <w:pStyle w:val="Heading2"/>
        <w:spacing w:after="120" w:before="240"/>
      </w:pPr>
      <w:r>
        <w:rPr>
          <w:b/>
          <w:bCs/>
          <w:color w:val="2E74B5"/>
          <w:sz w:val="24"/>
          <w:szCs w:val="24"/>
        </w:rPr>
        <w:t xml:space="preserve">4.12 暂无2026年8月至9月新增监管处罚公告</w:t>
      </w:r>
    </w:p>
    <w:p>
      <w:pPr>
        <w:spacing w:after="160" w:line="300"/>
      </w:pPr>
      <w:r>
        <w:rPr>
          <w:sz w:val="22"/>
          <w:szCs w:val="22"/>
        </w:rPr>
        <w:t xml:space="preserve">截至2026年9月11日，未检索到公司在2026年8月至9月受到中国证监会、深圳证券交易所公开处罚、立案或纪律处分的新增公告。公开检索到的监管事项为2023年7月深圳证监局对公司、陈秀峰及沈熙文采取警示函措施，属于历史监管记录，不属于2026年近期新增监管事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-0.34元，跌幅-2.31%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13.96元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418,701手，约4,187.01万股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约5.9737亿元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约215.34亿元，按14.40元收盘价及约14.952亿股总股本估算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动态/滚动市盈率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约153.91倍；采用中财网截至2026年9月11日口径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约21.56元/11.50元；不同平台在复权、统计截止时间和数据源方面可能存在差异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2026年9月3日至9月11日收盘价运行于13.88~14.97元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股价处于区间震荡状态；9月9日放量上涨后，9月10日至11日连续回落，14.97元附近存在较明显的短线兑现压力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现价14.40元与MA5接近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约14.38元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现价14.40元与MA10接近，14.35~14.45元为短期均线观察区域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约14.58元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现价低于MA20约1.2%；若重新站上14.58元并伴随成交额放大，短线结构有机会修复；若持续运行在14.35元下方，需关注13.55~14.00元支撑区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约60，按最近6个交易日收盘价简化估算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中性偏强，但尚未进入明显超买区间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55.277；数据截至2026年8月28日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仅可作为此前技术状态参考，不能直接视为2026年9月11日最新指标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约0.200；数据截至2026年8月28日，页面信号为买入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未发现能够稳定、同步更新至2026年9月11日收盘的MACD数值，不能据此确认当前处于金叉或红柱状态；结合近期价格表现，短线动能可能收敛，但不作确定性判断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中轨约14.58元，上轨约15.53元，下轨约13.64元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现价低于中轨；若重新站回14.58元，中短线可观察15.30~15.53元压力区；若跌破13.64元，可能打开向13.00~13.37元区域回探的空间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截至2026年9月11日，当日总体呈净流出；精确净流出金额未获得两个独立来源同时确认</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近期更接近放量上涨后资金分歧加大，而非持续单边流入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2026年9月7日至9月11日成交额约4.54亿~15.23亿元，5日平均约7.46亿元；换手率约2.69%~8.58%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9月9日成交额15.23亿元、换手率8.58%后，成交额和换手率连续回落，短期追价资金持续性仍需观察</w:t>
            </w:r>
          </w:p>
        </w:tc>
      </w:tr>
    </w:tbl>
    <w:p>
      <w:pPr>
        <w:spacing w:before="200"/>
      </w:pPr>
    </w:p>
    <w:p>
      <w:pPr>
        <w:spacing w:after="160" w:line="300"/>
      </w:pPr>
      <w:r>
        <w:rPr>
          <w:sz w:val="22"/>
          <w:szCs w:val="22"/>
        </w:rPr>
        <w:t xml:space="preserve">截至2026年9月11日，星源材质A股收盘14.40元，近期股价在13.88~14.97元区间反复震荡。9月9日股价上涨7.85%并显著放量至15.23亿元，随后两日回落，显示14.97元附近存在兑现压力，资金分歧有所加大。现价基本贴近MA5、MA10，但低于MA20及布林中轨14.58元，技术形态表现为震荡偏弱。下方可重点观察13.55~14.00元区域以及布林下轨约13.64元附近的支撑有效性；上方则关注14.76~15.43元压力区及15.53元附近布林上轨。当前MACD缺乏2026年9月11日同步数据，无法对金叉、死叉或红柱状态作确定性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风险提示：以下内容仅为基于截至2026年9月11日收盘数据、历史价格和技术指标测算的主观情景推演，不构成投资建议，也不是单点价格预测。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14.76~15.43元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对应9月10日收盘价、近期成交密集区及前期反弹高位；若放量突破15.43元，可进一步观察15.53元附近的估算布林上轨；若无法突破，仍可能维持区间震荡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13.55~14.37元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覆盖近期低点、MA5/MA10附近区域及纪要所述主要支撑区；14.35~14.40元为较近的多空分界观察区域，若持续运行在13.55元下方，可能向13.00~13.37元区域回探</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13.00~13.37元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若有效跌破13.55元且成交额放大，可能向该区域寻找承接；进一步失守后，需要重新评估11.50元附近的52周低位支撑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资金流向和成交量的主观启发式权重，不是统计概率）：价格区间约13.90~14.90元。若13.55~14.00元附近缩量企稳，且成交额维持约5亿~8亿元，股价可能在14元附近反复震荡，并尝试回到14.76元上方。依据是现价接近MA5、MA10但低于MA20，且9月9日放量上涨后连续回落、资金面出现分歧</w:t>
      </w:r>
    </w:p>
    <w:p>
      <w:pPr>
        <w:pStyle w:val="ListParagraph"/>
        <w:numPr>
          <w:ilvl w:val="0"/>
          <w:numId w:val="2"/>
        </w:numPr>
        <w:spacing w:after="80" w:line="280"/>
      </w:pPr>
      <w:r>
        <w:rPr>
          <w:sz w:val="22"/>
          <w:szCs w:val="22"/>
        </w:rPr>
        <w:t xml:space="preserve">偏弱下行（权重中等；为基于当前技术形态、资金流向和成交量的主观启发式权重，不是统计概率）：价格区间约13.00~13.80元。触发条件包括13.55元附近支撑被放量跌破，单日成交额明显高于近期正常水平但收盘继续走弱，或新能源、电池材料板块继续出现明显资金流出。若13.55元失守，短线可能向13.00~13.37元强支撑区寻找承接</w:t>
      </w:r>
    </w:p>
    <w:p>
      <w:pPr>
        <w:pStyle w:val="ListParagraph"/>
        <w:numPr>
          <w:ilvl w:val="0"/>
          <w:numId w:val="2"/>
        </w:numPr>
        <w:spacing w:after="80" w:line="280"/>
      </w:pPr>
      <w:r>
        <w:rPr>
          <w:sz w:val="22"/>
          <w:szCs w:val="22"/>
        </w:rPr>
        <w:t xml:space="preserve">反弹走强（权重偏低；为基于当前技术形态、资金流向和成交量的主观启发式权重，不是统计概率）：价格区间约14.80~15.50元。需要股价重新站回14.58元附近的MA20和布林中轨，并且成交额恢复至约8亿~10亿元以上、上涨日主力资金重新转为净流入；若进一步放量突破14.97~15.00元，才有机会测试15.30~15.53元压力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5个交易日成交额约4.54亿~15.23亿元，平均约7.46亿元；换手率约2.69%~8.58%。9月9日成交额放大至约15.23亿元、换手率8.58%，随后9月10日和11日成交额分别回落至约6.28亿元和5.97亿元，换手率降至3.54%和3.46%，显示放量上涨后未形成连续放量上攻，短线筹码仍处于兑现和重新定价过程。股东结构数据截至2026年6月30日：前十大流通股东持股约占流通盘23.68%，机构持仓约占流通盘25.51%；前十大股东中存在公募基金、ETF、QFII及券商等机构投资者，但未形成极高比例的集中持仓。同花顺将其归类为主力控盘度较低。由于股东数据距离当前行情约有两个多月滞后，不能完全代表2026年9月11日的实时持仓结构，实际筹码结构可能已经发生变化。结合数亿元级日成交额，正常交易下买卖冲击相对有限，但放量后成交额快速回落，表明短期资金持续性仍需观察。</w:t>
      </w:r>
    </w:p>
    <w:p>
      <w:pPr>
        <w:spacing w:after="160" w:line="300"/>
      </w:pPr>
      <w:r>
        <w:rPr>
          <w:sz w:val="22"/>
          <w:szCs w:val="22"/>
        </w:rPr>
        <w:t xml:space="preserve">可检查的量能确认信号是：若股价重新站上14.76元，且单日成交额达到约8亿~10亿元、连续至少一个交易日维持放量，同时主力资金由净流出转为净流入，可视为反弹有效性的增强信号；若放量但收盘仍跌破13.55元，则更应理解为资金撤离或抛压释放，而非积极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观察思路，非操作指令：重点观察13.55~14.00元区域能否缩量企稳，以及跌破该区域时成交额是否同步放大。</w:t>
      </w:r>
    </w:p>
    <w:p>
      <w:pPr>
        <w:pStyle w:val="ListParagraph"/>
        <w:numPr>
          <w:ilvl w:val="0"/>
          <w:numId w:val="2"/>
        </w:numPr>
        <w:spacing w:after="80" w:line="280"/>
      </w:pPr>
      <w:r>
        <w:rPr>
          <w:sz w:val="22"/>
          <w:szCs w:val="22"/>
        </w:rPr>
        <w:t xml:space="preserve">观察14.58元附近MA20及布林中轨能否被重新站上，作为短线技术结构修复的参考位置。</w:t>
      </w:r>
    </w:p>
    <w:p>
      <w:pPr>
        <w:pStyle w:val="ListParagraph"/>
        <w:numPr>
          <w:ilvl w:val="0"/>
          <w:numId w:val="2"/>
        </w:numPr>
        <w:spacing w:after="80" w:line="280"/>
      </w:pPr>
      <w:r>
        <w:rPr>
          <w:sz w:val="22"/>
          <w:szCs w:val="22"/>
        </w:rPr>
        <w:t xml:space="preserve">观察14.76~15.43元压力区及15.53元附近布林上轨的突破情况，重点关注是否伴随成交额放大。</w:t>
      </w:r>
    </w:p>
    <w:p>
      <w:pPr>
        <w:pStyle w:val="ListParagraph"/>
        <w:numPr>
          <w:ilvl w:val="0"/>
          <w:numId w:val="2"/>
        </w:numPr>
        <w:spacing w:after="80" w:line="280"/>
      </w:pPr>
      <w:r>
        <w:rPr>
          <w:sz w:val="22"/>
          <w:szCs w:val="22"/>
        </w:rPr>
        <w:t xml:space="preserve">观察单日成交额是否达到约8亿~10亿元并伴随主力资金转为净流入；若放量下跌并跌破13.55元，则关注13.00~13.37元强支撑区。</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锂电池产业链上游包括石化原料、聚烯烃树脂、涂覆材料和化工助剂，中游包括正极、负极、电解液和隔膜等电池材料，下游包括动力电池、储能电池、消费电子电池及新能源汽车、储能系统等终端。星源材质处于中游隔膜环节，覆盖干法、湿法和涂覆三类技术路线。</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中国隔膜企业近年来已成为全球主要供应力量。公司2024年年报援引行业资料称，2024年中国企业占全球隔膜市场份额超过91%。</w:t>
      </w:r>
    </w:p>
    <w:p>
      <w:pPr>
        <w:pStyle w:val="ListParagraph"/>
        <w:numPr>
          <w:ilvl w:val="0"/>
          <w:numId w:val="2"/>
        </w:numPr>
        <w:spacing w:after="80" w:line="280"/>
      </w:pPr>
      <w:r>
        <w:rPr>
          <w:sz w:val="22"/>
          <w:szCs w:val="22"/>
        </w:rPr>
        <w:t xml:space="preserve">公开行业统计显示，2023年全球隔膜出货量排名中，恩捷股份约57.0亿平方米、全球份额约27.14%；星源材质约26.1亿平方米、全球份额约12.43%；中材科技约17.4亿平方米、全球份额约8.29%；金力股份约14.7亿平方米、全球份额约7.00%；中兴新材约13.8亿平方米、全球份额约6.57%。前十大企业合计占全球市场约90%。上述数据来自中债资信及公开行业统计，不是公司年报直接披露，统计口径可能包括不同区域和技术路线，仅作行业参考。</w:t>
      </w:r>
    </w:p>
    <w:p>
      <w:pPr>
        <w:pStyle w:val="ListParagraph"/>
        <w:numPr>
          <w:ilvl w:val="0"/>
          <w:numId w:val="2"/>
        </w:numPr>
        <w:spacing w:after="80" w:line="280"/>
      </w:pPr>
      <w:r>
        <w:rPr>
          <w:sz w:val="22"/>
          <w:szCs w:val="22"/>
        </w:rPr>
        <w:t xml:space="preserve">湿法隔膜具有薄型化、孔隙结构和综合性能优势，适用于高能量密度动力电池和部分高端消费电池；干法隔膜成本较低、流程相对简单、耐高温和机械强度较好，在磷酸铁锂、储能、电动工具和部分动力电池领域具有竞争力。</w:t>
      </w:r>
    </w:p>
    <w:p>
      <w:pPr>
        <w:pStyle w:val="ListParagraph"/>
        <w:numPr>
          <w:ilvl w:val="0"/>
          <w:numId w:val="2"/>
        </w:numPr>
        <w:spacing w:after="80" w:line="280"/>
      </w:pPr>
      <w:r>
        <w:rPr>
          <w:sz w:val="22"/>
          <w:szCs w:val="22"/>
        </w:rPr>
        <w:t xml:space="preserve">涂覆隔膜通过陶瓷、勃姆石、聚合物等涂层提升耐热性、浸润性、粘接性和安全性能，通常附加值高于普通基膜。</w:t>
      </w:r>
    </w:p>
    <w:p>
      <w:pPr>
        <w:pStyle w:val="ListParagraph"/>
        <w:numPr>
          <w:ilvl w:val="0"/>
          <w:numId w:val="2"/>
        </w:numPr>
        <w:spacing w:after="80" w:line="280"/>
      </w:pPr>
      <w:r>
        <w:rPr>
          <w:sz w:val="22"/>
          <w:szCs w:val="22"/>
        </w:rPr>
        <w:t xml:space="preserve">行业竞争核心包括技术与工艺、规模与成本、客户认证、全球化生产和产品价格。行业产能释放后，普通基膜面临价格下行压力，涂覆膜、超薄膜及固态电池相关材料是主要升级方向。</w:t>
      </w:r>
    </w:p>
    <w:p>
      <w:pPr>
        <w:pStyle w:val="ListParagraph"/>
        <w:numPr>
          <w:ilvl w:val="0"/>
          <w:numId w:val="2"/>
        </w:numPr>
        <w:spacing w:after="80" w:line="280"/>
      </w:pPr>
      <w:r>
        <w:rPr>
          <w:sz w:val="22"/>
          <w:szCs w:val="22"/>
        </w:rPr>
        <w:t xml:space="preserve">公司2025年年报未披露合并口径的干法、湿法和涂覆隔膜设计产能总数；第三方资料所称2025年隔膜销量约46.65亿平方米未能在年报正文中交叉核验，不作为官方核心数据。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恩捷股份（002812）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全球湿法隔膜龙头，湿法基膜和涂覆隔膜规模优势突出。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全球客户覆盖广、湿法隔膜产能和出货量领先，并与国内外头部电池企业建立供应关系；是星源材质最直接的综合竞争对手。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中材科技（002080）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依托中国建材集团的综合型新材料企业，通过中材锂膜参与锂电池隔膜竞争。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具备央企背景、资本实力及湿法、涂覆和超薄隔膜技术储备；与星源材质在湿法隔膜领域高度重叠，但集团业务多元、隔膜业务聚焦度低于星源材质。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河北金力新能源材料科技股份有限公司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国内主要隔膜企业之一，在湿法隔膜及相关产品领域具有较强规模。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在国内动力电池客户中具有一定供应基础，成本和规模竞争能力较强；为非A股上市公司，公开财务信息少于相关A股公司。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沧州明珠（002108）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塑料管道、锂电池隔膜和BOPA薄膜等多元化材料企业。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具备聚合物薄膜和隔膜业务经验，业务较为多元；在中低成本产品和部分细分客户市场与星源材质存在竞争。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璞泰来（603659）/卓勤新材料</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以负极材料、涂覆加工、自动化设备等为核心，并通过子公司布局锂电池隔膜及涂覆业务。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具备锂电池材料协同、涂覆工艺、设备和客户资源优势，但隔膜业务并非其唯一核心业务，整体规模和业务聚焦度与星源材质不同。</w:t>
            </w:r>
          </w:p>
        </w:tc>
      </w:tr>
    </w:tbl>
    <w:p>
      <w:pPr>
        <w:spacing w:before="200"/>
      </w:pPr>
    </w:p>
    <w:p>
      <w:pPr>
        <w:spacing w:after="160" w:line="300"/>
      </w:pPr>
      <w:r>
        <w:rPr>
          <w:sz w:val="22"/>
          <w:szCs w:val="22"/>
        </w:rPr>
        <w:t xml:space="preserve">星源材质的差异化在于干法、湿法和涂覆三条技术路线均有布局，干法隔膜起步较早，并持续扩大湿法和涂覆能力；同时通过深圳、安徽、常州、江苏、南通、欧洲等生产基地及马来西亚项目推进全球化布局。与恩捷股份相比，公司湿法隔膜整体规模和客户覆盖存在竞争压力，但在干法隔膜、部分海外客户及三种技术路线协同方面具有差异化；与中材科技、河北金力等相比，公司业务更聚焦于隔膜。行业整体仍处于规模竞争、成本竞争和下游电池厂商降本压力并存阶段，公司的利润修复取决于价格企稳、成本控制、产能利用率及高附加值产品和海外产能的消化。</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隔膜行业供给增加及下游电池厂商降本可能继续压低产品价格和单位盈利。公司隔膜业务毛利率已从2022年的约45.37%降至2025年的22.78%，若价格企稳不及预期，2026年盈利修复可能弱于机构预测。</w:t>
      </w:r>
    </w:p>
    <w:p>
      <w:pPr>
        <w:pStyle w:val="ListParagraph"/>
        <w:numPr>
          <w:ilvl w:val="0"/>
          <w:numId w:val="2"/>
        </w:numPr>
        <w:spacing w:after="80" w:line="280"/>
      </w:pPr>
      <w:r>
        <w:rPr>
          <w:sz w:val="22"/>
          <w:szCs w:val="22"/>
        </w:rPr>
        <w:t xml:space="preserve">公司对原材料和涂覆材料成本较为敏感。2025年隔膜业务材料成本约16.82亿元，占隔膜业务营业成本的53.44%，同比增长67.45%，高于隔膜收入增速；若PE、PP、陶瓷粉、勃姆石及相关助剂成本上升，成本压力可能侵蚀毛利率。</w:t>
      </w:r>
    </w:p>
    <w:p>
      <w:pPr>
        <w:pStyle w:val="ListParagraph"/>
        <w:numPr>
          <w:ilvl w:val="0"/>
          <w:numId w:val="2"/>
        </w:numPr>
        <w:spacing w:after="80" w:line="280"/>
      </w:pPr>
      <w:r>
        <w:rPr>
          <w:sz w:val="22"/>
          <w:szCs w:val="22"/>
        </w:rPr>
        <w:t xml:space="preserve">客户集中度较高且下游议价能力较强。2025年前五大客户销售额占比60.24%，第一大客户占16.23%；公司未披露前五大客户具体名称，若主要客户采购计划、认证进度、价格或结算条件发生变化，可能影响收入确认和盈利水平。</w:t>
      </w:r>
    </w:p>
    <w:p>
      <w:pPr>
        <w:pStyle w:val="ListParagraph"/>
        <w:numPr>
          <w:ilvl w:val="0"/>
          <w:numId w:val="2"/>
        </w:numPr>
        <w:spacing w:after="80" w:line="280"/>
      </w:pPr>
      <w:r>
        <w:rPr>
          <w:sz w:val="22"/>
          <w:szCs w:val="22"/>
        </w:rPr>
        <w:t xml:space="preserve">应收账款和现金流存在压力。截至2025年末应收账款18.91亿元，约为当年营业收入的45.8%；2026年上半年经营活动现金流净额同比下降27.06%，若海外扩张和业务增长继续占用营运资金，可能加大资金周转和减值风险。</w:t>
      </w:r>
    </w:p>
    <w:p>
      <w:pPr>
        <w:pStyle w:val="ListParagraph"/>
        <w:numPr>
          <w:ilvl w:val="0"/>
          <w:numId w:val="2"/>
        </w:numPr>
        <w:spacing w:after="80" w:line="280"/>
      </w:pPr>
      <w:r>
        <w:rPr>
          <w:sz w:val="22"/>
          <w:szCs w:val="22"/>
        </w:rPr>
        <w:t xml:space="preserve">海外项目建设及融资担保规模较大。公司及子公司实际担保余额为654,860.55万元，占2025年经审计净资产的66.40%，公司已提示担保总额超过最近一期经审计净资产100%的风险；马来西亚项目还涉及最高不超过118,473,495欧元的贷款担保，若项目投产、订单消化或资金回收不及预期，可能增加财务和担保风险。</w:t>
      </w:r>
    </w:p>
    <w:p>
      <w:pPr>
        <w:pStyle w:val="ListParagraph"/>
        <w:numPr>
          <w:ilvl w:val="0"/>
          <w:numId w:val="2"/>
        </w:numPr>
        <w:spacing w:after="80" w:line="280"/>
      </w:pPr>
      <w:r>
        <w:rPr>
          <w:sz w:val="22"/>
          <w:szCs w:val="22"/>
        </w:rPr>
        <w:t xml:space="preserve">海外经营面临建设、客户拓展、汇率及区域运营不确定性。2025年年报已提及海外产能布局带来的投入和费用增加、汇率波动及部分资产减值影响；2026年上半年海外收入快速增长，但其持续性仍需通过海外基地投产进度、客户订单和盈利数据验证。</w:t>
      </w:r>
    </w:p>
    <w:p>
      <w:pPr>
        <w:pStyle w:val="ListParagraph"/>
        <w:numPr>
          <w:ilvl w:val="0"/>
          <w:numId w:val="2"/>
        </w:numPr>
        <w:spacing w:after="80" w:line="280"/>
      </w:pPr>
      <w:r>
        <w:rPr>
          <w:sz w:val="22"/>
          <w:szCs w:val="22"/>
        </w:rPr>
        <w:t xml:space="preserve">邦瓷电子收购存在审批、并表及整合不确定性。公司拟现金收购其59.9806%股权，交易尚需股东会审议，且邦瓷电子目前尚未并入公司报表、未披露明确业绩承诺；若技术产业化、客户拓展或业务整合不及预期，可能导致新业务贡献低于预期。</w:t>
      </w:r>
    </w:p>
    <w:p>
      <w:pPr>
        <w:pStyle w:val="ListParagraph"/>
        <w:numPr>
          <w:ilvl w:val="0"/>
          <w:numId w:val="2"/>
        </w:numPr>
        <w:spacing w:after="80" w:line="280"/>
      </w:pPr>
      <w:r>
        <w:rPr>
          <w:sz w:val="22"/>
          <w:szCs w:val="22"/>
        </w:rPr>
        <w:t xml:space="preserve">公司当前估值对业绩兑现依赖较高。2026年9月11日收盘价14.40元对应滚动市盈率约153.91倍，机构预测的2026年盈利存在较宽区间；若隔膜价格、海外产能或邦瓷电子并表贡献低于预期，估值切换及股价波动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增长逻辑在于隔膜主业盈利修复、海外销售和产能布局推进，以及干法、湿法、涂覆等多技术路线和高附加值产品的协同。2026年上半年收入、扣非利润及隔膜业务毛利率同步改善，二季度环比加速，说明价格和产品结构改善已经对阶段性业绩产生影响；若隔膜价格企稳、产能利用率提升、材料及制造成本得到控制，主业盈利能力仍存在进一步修复空间。</w:t>
      </w:r>
    </w:p>
    <w:p>
      <w:pPr>
        <w:spacing w:after="160" w:line="300"/>
      </w:pPr>
      <w:r>
        <w:rPr>
          <w:sz w:val="22"/>
          <w:szCs w:val="22"/>
        </w:rPr>
        <w:t xml:space="preserve">公司拟以约2.4183亿元现金收购邦瓷电子59.9806%股权，交易完成后持股比例将升至73.4806%，并计划向半导体材料、精密陶瓷等领域延伸。该交易尚需股东会审议，邦瓷电子目前尚未并表且未披露明确业绩承诺，因此其对公司收入、利润和业务结构的实际贡献仍需以后续并表及经营数据验证。机构对2026—2028年盈利预测区间较宽，相关预测并非公司正式业绩指引，不能替代实际业绩兑现。</w:t>
      </w:r>
    </w:p>
    <w:p>
      <w:pPr>
        <w:spacing w:after="160" w:line="300"/>
      </w:pPr>
      <w:r>
        <w:rPr>
          <w:sz w:val="22"/>
          <w:szCs w:val="22"/>
        </w:rPr>
        <w:t xml:space="preserve">展望后续，公司需要同时验证隔膜价格修复的持续性、海外项目投产和订单消化能力、经营现金流与利润的匹配程度，以及新业务整合效果。2026年上半年经营活动现金流净额为3.91亿元，同比下降27.06%，而公司海外扩张、现金收购及项目融资将增加资金管理复杂度；技术面上，14.58元附近是MA20及布林中轨观察位置，13.55至14.00元区域为下方重要支撑参考，股价能否修复仍取决于业绩、资金及市场预期的共同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星源材质(300568)_公司公告_星源材质：2025年年度报告新浪财经_新浪网 — https://money.finance.sina.com.cn/corp/view/vCB_AllBulletinDetail.php?id=12045288&amp;stockid=300568</w:t>
      </w:r>
    </w:p>
    <w:p>
      <w:pPr>
        <w:spacing w:after="200"/>
      </w:pPr>
      <w:r>
        <w:rPr>
          <w:i/>
          <w:iCs/>
          <w:color w:val="595959"/>
          <w:sz w:val="18"/>
          <w:szCs w:val="18"/>
        </w:rPr>
        <w:t xml:space="preserve">PDF — https://static.cninfo.com.cn/finalpage/enpage/300568_1.pdf</w:t>
      </w:r>
    </w:p>
    <w:p>
      <w:pPr>
        <w:spacing w:after="200"/>
      </w:pPr>
      <w:r>
        <w:rPr>
          <w:i/>
          <w:iCs/>
          <w:color w:val="595959"/>
          <w:sz w:val="18"/>
          <w:szCs w:val="18"/>
        </w:rPr>
        <w:t xml:space="preserve">&lt;visual_element id="e1"&gt; — https://www.chinaratings.com.cn/upload/docs/2024-11-04/doc_2601730710866.pdf?utm_source=openai</w:t>
      </w:r>
    </w:p>
    <w:p>
      <w:pPr>
        <w:spacing w:after="200"/>
      </w:pPr>
      <w:r>
        <w:rPr>
          <w:i/>
          <w:iCs/>
          <w:color w:val="595959"/>
          <w:sz w:val="18"/>
          <w:szCs w:val="18"/>
        </w:rPr>
        <w:t xml:space="preserve">星源材质(300568)_公司公告_星源材质：2024年年度报告摘要新浪财经_新浪网 — https://money.finance.sina.com.cn/corp/view/vCB_AllBulletinDetail.php?id=11048018&amp;stockid=300568</w:t>
      </w:r>
    </w:p>
    <w:p>
      <w:pPr>
        <w:spacing w:after="200"/>
      </w:pPr>
      <w:r>
        <w:rPr>
          <w:i/>
          <w:iCs/>
          <w:color w:val="595959"/>
          <w:sz w:val="18"/>
          <w:szCs w:val="18"/>
        </w:rPr>
        <w:t xml:space="preserve">「星源材质」300568.SZ - 深圳市星源材质科技股份有限公司 - 深圳证券交易所创业板 - A股 - 准上市 — https://www.zhunshangshi.com/stock/300568/?utm_source=openai</w:t>
      </w:r>
    </w:p>
    <w:p>
      <w:pPr>
        <w:spacing w:after="200"/>
      </w:pPr>
      <w:r>
        <w:rPr>
          <w:i/>
          <w:iCs/>
          <w:color w:val="595959"/>
          <w:sz w:val="18"/>
          <w:szCs w:val="18"/>
        </w:rPr>
        <w:t xml:space="preserve">深圳市星源材质科技股份有限公司2026年半年度报告全文 — https://disc.static.szse.cn/disc/disk03/finalpage/2026-08-28/d18d6b21-e85d-4b14-be3d-fc679ce310c7.PDF?utm_source=openai</w:t>
      </w:r>
    </w:p>
    <w:p>
      <w:pPr>
        <w:spacing w:after="200"/>
      </w:pPr>
      <w:r>
        <w:rPr>
          <w:i/>
          <w:iCs/>
          <w:color w:val="595959"/>
          <w:sz w:val="18"/>
          <w:szCs w:val="18"/>
        </w:rPr>
        <w:t xml:space="preserve">星源材质(300568)：隔膜盈利修复 全球化+新材料构筑成长动能__新浪财经_新浪网 — https://stock.finance.sina.com.cn/stock/go.php/vReport_Show/kind/search/rptid/841548081323/index.phtml</w:t>
      </w:r>
    </w:p>
    <w:p>
      <w:pPr>
        <w:spacing w:after="200"/>
      </w:pPr>
      <w:r>
        <w:rPr>
          <w:i/>
          <w:iCs/>
          <w:color w:val="595959"/>
          <w:sz w:val="18"/>
          <w:szCs w:val="18"/>
        </w:rPr>
        <w:t xml:space="preserve">深圳市星源材质科技股份有限公司2025年年度报告全文 — https://static.cninfo.com.cn/finalpage/2026-03-31/1225059068.PDF?utm_source=openai</w:t>
      </w:r>
    </w:p>
    <w:p>
      <w:pPr>
        <w:spacing w:after="200"/>
      </w:pPr>
      <w:r>
        <w:rPr>
          <w:i/>
          <w:iCs/>
          <w:color w:val="595959"/>
          <w:sz w:val="18"/>
          <w:szCs w:val="18"/>
        </w:rPr>
        <w:t xml:space="preserve">星源材质：2025年净利润3636.78万元 拟10派0.1元 _ 东方财富网 — https://finance.eastmoney.com/a/202603313689829161.html?utm_source=openai</w:t>
      </w:r>
    </w:p>
    <w:p>
      <w:pPr>
        <w:spacing w:after="200"/>
      </w:pPr>
      <w:r>
        <w:rPr>
          <w:i/>
          <w:iCs/>
          <w:color w:val="595959"/>
          <w:sz w:val="18"/>
          <w:szCs w:val="18"/>
        </w:rPr>
        <w:t xml:space="preserve">星源材质(300568)2026年半年报点评：隔膜主业量利齐升 布局半导体打开增长曲线__新浪财经_新浪网 — https://stock.finance.sina.com.cn/stock/go.php/vReport_Show/kind/search/rptid/841632351753/index.phtml?utm_source=openai</w:t>
      </w:r>
    </w:p>
    <w:p>
      <w:pPr>
        <w:spacing w:after="200"/>
      </w:pPr>
      <w:r>
        <w:rPr>
          <w:i/>
          <w:iCs/>
          <w:color w:val="595959"/>
          <w:sz w:val="18"/>
          <w:szCs w:val="18"/>
        </w:rPr>
        <w:t xml:space="preserve">2026年半年报点评：隔膜盈利拐点已现，半导体材料赋能第二成长曲线- 宏观研究报告 _ 数据中心 _ 东方财富网 — https://data.eastmoney.com/report/info/AP202608281828565034.html</w:t>
      </w:r>
    </w:p>
    <w:p>
      <w:pPr>
        <w:spacing w:after="200"/>
      </w:pPr>
      <w:r>
        <w:rPr>
          <w:i/>
          <w:iCs/>
          <w:color w:val="595959"/>
          <w:sz w:val="18"/>
          <w:szCs w:val="18"/>
        </w:rPr>
        <w:t xml:space="preserve">长城证券-星源材质(300568)隔膜全球布局加速，压电陶瓷再拓新局-260810 — https://www.nxny.com/report/view_6445049.html?utm_source=openai</w:t>
      </w:r>
    </w:p>
    <w:p>
      <w:pPr>
        <w:spacing w:after="200"/>
      </w:pPr>
      <w:r>
        <w:rPr>
          <w:i/>
          <w:iCs/>
          <w:color w:val="595959"/>
          <w:sz w:val="18"/>
          <w:szCs w:val="18"/>
        </w:rPr>
        <w:t xml:space="preserve">星源材质（300568.SZ）2026年半年报点评：隔膜主业盈利改善，收购邦瓷电子布局第二增长曲线 - 国联民生证券 ｜ 发现报告 — https://www.fxbaogao.com/detail/5652283?utm_source=openai</w:t>
      </w:r>
    </w:p>
    <w:p>
      <w:pPr>
        <w:spacing w:after="200"/>
      </w:pPr>
      <w:r>
        <w:rPr>
          <w:i/>
          <w:iCs/>
          <w:color w:val="595959"/>
          <w:sz w:val="18"/>
          <w:szCs w:val="18"/>
        </w:rPr>
        <w:t xml:space="preserve">星源材质(300568)深度报告：隔膜盈利拐点确立 半导体打造第二成长曲线__新浪财经_新浪网 — https://stock.finance.sina.com.cn/stock/go.php/vReport_Show/kind/search/rptid/838519034077/index.phtml?utm_source=openai</w:t>
      </w:r>
    </w:p>
    <w:p>
      <w:pPr>
        <w:spacing w:after="200"/>
      </w:pPr>
      <w:r>
        <w:rPr>
          <w:i/>
          <w:iCs/>
          <w:color w:val="595959"/>
          <w:sz w:val="18"/>
          <w:szCs w:val="18"/>
        </w:rPr>
        <w:t xml:space="preserve">机构评级|中金公司给予星源材质“跑赢行业”评级 — https://stock.10jqka.com.cn/20260817/c679006486.shtml</w:t>
      </w:r>
    </w:p>
    <w:p>
      <w:pPr>
        <w:spacing w:after="200"/>
      </w:pPr>
      <w:r>
        <w:rPr>
          <w:i/>
          <w:iCs/>
          <w:color w:val="595959"/>
          <w:sz w:val="18"/>
          <w:szCs w:val="18"/>
        </w:rPr>
        <w:t xml:space="preserve">机构评级|长城证券给予星源材质“买入”评级 未给出目标价 — https://stock.10jqka.com.cn/20260810/c678826831.shtml?utm_source=openai</w:t>
      </w:r>
    </w:p>
    <w:p>
      <w:pPr>
        <w:spacing w:after="200"/>
      </w:pPr>
      <w:r>
        <w:rPr>
          <w:i/>
          <w:iCs/>
          <w:color w:val="595959"/>
          <w:sz w:val="18"/>
          <w:szCs w:val="18"/>
        </w:rPr>
        <w:t xml:space="preserve">星源材质研报与机构观点 - 研报雷达 — https://zc-baogao.com/company.html?stock=300568.SZ&amp;utm_source=openai</w:t>
      </w:r>
    </w:p>
    <w:p>
      <w:pPr>
        <w:spacing w:after="200"/>
      </w:pPr>
      <w:r>
        <w:rPr>
          <w:i/>
          <w:iCs/>
          <w:color w:val="595959"/>
          <w:sz w:val="18"/>
          <w:szCs w:val="18"/>
        </w:rPr>
        <w:t xml:space="preserve">星源材质 (300568)股票预测和分析师评级 - 富途牛牛 — https://www.futunn.com/stock/300568-SZ/forecast?utm_source=openai</w:t>
      </w:r>
    </w:p>
    <w:p>
      <w:pPr>
        <w:spacing w:after="200"/>
      </w:pPr>
      <w:r>
        <w:rPr>
          <w:i/>
          <w:iCs/>
          <w:color w:val="595959"/>
          <w:sz w:val="18"/>
          <w:szCs w:val="18"/>
        </w:rPr>
        <w:t xml:space="preserve">单股调研 — https://www.ashare-dashboard.com/stocks?details=1&amp;ts_code=300568.SZ&amp;utm_source=openai</w:t>
      </w:r>
    </w:p>
    <w:p>
      <w:pPr>
        <w:spacing w:after="200"/>
      </w:pPr>
      <w:r>
        <w:rPr>
          <w:i/>
          <w:iCs/>
          <w:color w:val="595959"/>
          <w:sz w:val="18"/>
          <w:szCs w:val="18"/>
        </w:rPr>
        <w:t xml:space="preserve">星源材质(300568)_公司公告_星源材质：2026年半年度报告摘要新浪财经_新浪网 — https://money.finance.sina.com.cn/corp/view/vCB_AllBulletinDetail.php?id=12557479&amp;stockid=300568</w:t>
      </w:r>
    </w:p>
    <w:p>
      <w:pPr>
        <w:spacing w:after="200"/>
      </w:pPr>
      <w:r>
        <w:rPr>
          <w:i/>
          <w:iCs/>
          <w:color w:val="595959"/>
          <w:sz w:val="18"/>
          <w:szCs w:val="18"/>
        </w:rPr>
        <w:t xml:space="preserve">星源材质(300568)_公司公告_星源材质：关于公司及子公司为子公司提供担保的进展公告新浪财经_新浪网 — https://money.finance.sina.com.cn/corp/view/vCB_AllBulletinDetail.php?id=12589313&amp;stockid=300568</w:t>
      </w:r>
    </w:p>
    <w:p>
      <w:pPr>
        <w:spacing w:after="200"/>
      </w:pPr>
      <w:r>
        <w:rPr>
          <w:i/>
          <w:iCs/>
          <w:color w:val="595959"/>
          <w:sz w:val="18"/>
          <w:szCs w:val="18"/>
        </w:rPr>
        <w:t xml:space="preserve">星源材质(300568)_公司公告_星源材质：关于召开2026年第六次临时股东会的通知新浪财经_新浪网 — https://money.finance.sina.com.cn/corp/view/vCB_AllBulletinDetail.php?id=12584166&amp;stockid=300568</w:t>
      </w:r>
    </w:p>
    <w:p>
      <w:pPr>
        <w:spacing w:after="200"/>
      </w:pPr>
      <w:r>
        <w:rPr>
          <w:i/>
          <w:iCs/>
          <w:color w:val="595959"/>
          <w:sz w:val="18"/>
          <w:szCs w:val="18"/>
        </w:rPr>
        <w:t xml:space="preserve">星源材质(300568)_公司公告_星源材质：关于对外投资收购邦瓷电子股权暨签署股权转让协议的公告新浪财经_新浪网 — https://money.finance.sina.com.cn/corp/view/vCB_AllBulletinDetail.php?id=12492880&amp;stockid=300568</w:t>
      </w:r>
    </w:p>
    <w:p>
      <w:pPr>
        <w:spacing w:after="200"/>
      </w:pPr>
      <w:r>
        <w:rPr>
          <w:i/>
          <w:iCs/>
          <w:color w:val="595959"/>
          <w:sz w:val="18"/>
          <w:szCs w:val="18"/>
        </w:rPr>
        <w:t xml:space="preserve">星源材质(300568)_公司公告_星源材质：关于2026年半年度计提资产减值准备的公告新浪财经_新浪网 — https://money.finance.sina.com.cn/corp/view/vCB_AllBulletinDetail.php?id=12557425&amp;stockid=300568</w:t>
      </w:r>
    </w:p>
    <w:p>
      <w:pPr>
        <w:spacing w:after="200"/>
      </w:pPr>
      <w:r>
        <w:rPr>
          <w:i/>
          <w:iCs/>
          <w:color w:val="595959"/>
          <w:sz w:val="18"/>
          <w:szCs w:val="18"/>
        </w:rPr>
        <w:t xml:space="preserve">星源材质(300568)_公司公告_星源材质：2025年度业绩预告新浪财经_新浪网 — https://money.finance.sina.com.cn/corp/view/vCB_AllBulletinDetail.php?id=11946097&amp;stockid=300568&amp;utm_source=openai</w:t>
      </w:r>
    </w:p>
    <w:p>
      <w:pPr>
        <w:spacing w:after="200"/>
      </w:pPr>
      <w:r>
        <w:rPr>
          <w:i/>
          <w:iCs/>
          <w:color w:val="595959"/>
          <w:sz w:val="18"/>
          <w:szCs w:val="18"/>
        </w:rPr>
        <w:t xml:space="preserve">星源材质(300568)_公司公告_星源材质：关于控股股东、实际控制人及其一致行动人持股比例被动稀释触及1%整数倍的权益变动公告新浪财经_新浪网 — https://money.finance.sina.com.cn/corp/view/vCB_AllBulletinDetail.php?id=12406686&amp;stockid=300568&amp;utm_source=openai</w:t>
      </w:r>
    </w:p>
    <w:p>
      <w:pPr>
        <w:spacing w:after="200"/>
      </w:pPr>
      <w:r>
        <w:rPr>
          <w:i/>
          <w:iCs/>
          <w:color w:val="595959"/>
          <w:sz w:val="18"/>
          <w:szCs w:val="18"/>
        </w:rPr>
        <w:t xml:space="preserve">星源材质十大流通股东格局生变：盖茨基金会等退出，北向资金等增持_新浪财经_新浪网 — https://finance.sina.com.cn/stock/aiassist/sdltgdbh/2026-08-28/doc-inipvvzv8994760.shtml?utm_source=openai</w:t>
      </w:r>
    </w:p>
    <w:p>
      <w:pPr>
        <w:spacing w:after="200"/>
      </w:pPr>
      <w:r>
        <w:rPr>
          <w:i/>
          <w:iCs/>
          <w:color w:val="595959"/>
          <w:sz w:val="18"/>
          <w:szCs w:val="18"/>
        </w:rPr>
        <w:t xml:space="preserve">星源材质(300568)_公司公告_星源材质：2026年半年度报告新浪财经_新浪网 — https://vip.stock.finance.sina.com.cn/corp/view/vCB_AllBulletinDetail.php?id=12557478&amp;stockid=300568&amp;utm_source=openai</w:t>
      </w:r>
    </w:p>
    <w:p>
      <w:pPr>
        <w:spacing w:after="200"/>
      </w:pPr>
      <w:r>
        <w:rPr>
          <w:i/>
          <w:iCs/>
          <w:color w:val="595959"/>
          <w:sz w:val="18"/>
          <w:szCs w:val="18"/>
        </w:rPr>
        <w:t xml:space="preserve">星源材质(300568)_公司公告_星源材质：关于2024年限制性股票激励计划预留部分第一个归属期归属条件成就的公告新浪财经_新浪网 — https://money.finance.sina.com.cn/corp/view/vCB_AllBulletinDetail.php?id=12557481&amp;stockid=300568</w:t>
      </w:r>
    </w:p>
    <w:p>
      <w:pPr>
        <w:spacing w:after="200"/>
      </w:pPr>
      <w:r>
        <w:rPr>
          <w:i/>
          <w:iCs/>
          <w:color w:val="595959"/>
          <w:sz w:val="18"/>
          <w:szCs w:val="18"/>
        </w:rPr>
        <w:t xml:space="preserve">深圳证监局关于对深圳市星源材质科技股份有限公司、陈秀峰、沈熙文采取出具警示函措施的决定_深圳监管局 — https://www.csrc.gov.cn/shenzhen/c104320/c7419907/content.shtml</w:t>
      </w:r>
    </w:p>
    <w:p>
      <w:pPr>
        <w:spacing w:after="200"/>
      </w:pPr>
      <w:r>
        <w:rPr>
          <w:i/>
          <w:iCs/>
          <w:color w:val="595959"/>
          <w:sz w:val="18"/>
          <w:szCs w:val="18"/>
        </w:rPr>
        <w:t xml:space="preserve">香港交易及結算所有限公司及香港聯合交易所有限公司對本公告的內容概不負責，對其準確性 — https://www.hkexnews.hk/listedco/listconews/sehk/2026/0623/2026062300961_c.pdf?utm_source=openai</w:t>
      </w:r>
    </w:p>
    <w:p>
      <w:pPr>
        <w:spacing w:after="200"/>
      </w:pPr>
      <w:r>
        <w:rPr>
          <w:i/>
          <w:iCs/>
          <w:color w:val="595959"/>
          <w:sz w:val="18"/>
          <w:szCs w:val="18"/>
        </w:rPr>
        <w:t xml:space="preserve">https://www.igu888.com/hangqing/300568.html?utm_source=openai — https://www.igu888.com/hangqing/300568.html?utm_source=openai</w:t>
      </w:r>
    </w:p>
    <w:p>
      <w:pPr>
        <w:spacing w:after="200"/>
      </w:pPr>
      <w:r>
        <w:rPr>
          <w:i/>
          <w:iCs/>
          <w:color w:val="595959"/>
          <w:sz w:val="18"/>
          <w:szCs w:val="18"/>
        </w:rPr>
        <w:t xml:space="preserve">SZ.300568 星源材质 SENIOR MATERIAL - A股实时报价 RT Quote - 详细报价 Detailed Quote - etnet 经济通|香港新闻财经资讯和生活平台 — https://www.etnet.com.hk/www/sc/ashares/quote.php?code=300568&amp;utm_source=openai</w:t>
      </w:r>
    </w:p>
    <w:p>
      <w:pPr>
        <w:spacing w:after="200"/>
      </w:pPr>
      <w:r>
        <w:rPr>
          <w:i/>
          <w:iCs/>
          <w:color w:val="595959"/>
          <w:sz w:val="18"/>
          <w:szCs w:val="18"/>
        </w:rPr>
        <w:t xml:space="preserve">星源材质(300568)股票行情走势技术分析_未来预测_买卖操作建议_英为财情Investing.com — https://cn.investing.com/equities/shenzhen-senior-tech-material-technical</w:t>
      </w:r>
    </w:p>
    <w:p>
      <w:pPr>
        <w:spacing w:after="200"/>
      </w:pPr>
      <w:r>
        <w:rPr>
          <w:i/>
          <w:iCs/>
          <w:color w:val="595959"/>
          <w:sz w:val="18"/>
          <w:szCs w:val="18"/>
        </w:rPr>
        <w:t xml:space="preserve">星源材质近5日主力资金净流入，9月11日净流出，当前估值处于历史高位 - 经济观察网 － 专业财经新闻网站 — https://www.eeo.com.cn/2026/0912/1033831.shtml?utm_source=openai</w:t>
      </w:r>
    </w:p>
    <w:p>
      <w:pPr>
        <w:spacing w:after="200"/>
      </w:pPr>
      <w:r>
        <w:rPr>
          <w:i/>
          <w:iCs/>
          <w:color w:val="595959"/>
          <w:sz w:val="18"/>
          <w:szCs w:val="18"/>
        </w:rPr>
        <w:t xml:space="preserve">星源材质(300568) 股东研究_F10_同花顺金融服务网 — https://basic.10jqka.com.cn/300568/holder.html?utm_source=openai</w:t>
      </w:r>
    </w:p>
    <w:p>
      <w:pPr>
        <w:spacing w:after="200"/>
      </w:pPr>
      <w:r>
        <w:rPr>
          <w:i/>
          <w:iCs/>
          <w:color w:val="595959"/>
          <w:sz w:val="18"/>
          <w:szCs w:val="18"/>
        </w:rPr>
        <w:t xml:space="preserve">本报告由AI基于公开渠道信息自动检索、整理并生成，信息截至 截至2026年9月11日收盘；技术指标及未来一周情景基于研究纪要中的历史收盘价和测算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2026-09-13T13:45:38.888Z</dcterms:created>
  <dcterms:modified xsi:type="dcterms:W3CDTF">2026-09-13T13:45:38.888Z</dcterms:modified>
</cp:coreProperties>
</file>

<file path=docProps/custom.xml><?xml version="1.0" encoding="utf-8"?>
<Properties xmlns="http://schemas.openxmlformats.org/officeDocument/2006/custom-properties" xmlns:vt="http://schemas.openxmlformats.org/officeDocument/2006/docPropsVTypes"/>
</file>