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珠海光库科技股份有限公司（光库科技） (300620)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行业：光电子器件与光通信器件</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截至2026年9月11日收盘；均线、MACD、RSI等部分技术页面数据截至2026年9月12日凌晨左右，股东结构数据截至2026年6月30日，存在季度滞后。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光库科技2026年上半年业绩实现高速增长：营业收入10.32亿元，同比增长72.91%；归母净利润1.48亿元，同比增长186.09%；扣非归母净利润1.31亿元，同比增长216.26%。增长主要来自AI算力基础设施、数据中心、高速光模块及光器件需求，以及新产品、客户拓展和规模效应。与此同时，公司上半年经营活动现金流量净额为-1.61亿元，较上年同期明显转弱，利润增长与现金回笼之间出现明显反差，是当前最具决策意义的基本面观察点。</w:t>
      </w:r>
    </w:p>
    <w:p>
      <w:pPr>
        <w:spacing w:after="160" w:line="300"/>
      </w:pPr>
      <w:r>
        <w:rPr>
          <w:sz w:val="22"/>
          <w:szCs w:val="22"/>
        </w:rPr>
        <w:t xml:space="preserve">公司业务重心正向光通信器件倾斜。2025年光通信器件收入7.86亿元，同比增长100.37%，占总收入53.34%；2026年上半年该业务收入约6.02亿元，同比增长115.04%，毛利率约39.36%，但该结构数据来自券商研报，需区别于审计口径。光纤激光器件仍保持一定盈利能力，2025年收入同比增长17.37%、毛利率39.96%；激光雷达光源模块及器件收入同比下降27.53%，毛利率仅12.00%，业务表现分化明显。</w:t>
      </w:r>
    </w:p>
    <w:p>
      <w:pPr>
        <w:spacing w:after="160" w:line="300"/>
      </w:pPr>
      <w:r>
        <w:rPr>
          <w:sz w:val="22"/>
          <w:szCs w:val="22"/>
        </w:rPr>
        <w:t xml:space="preserve">公司具备高功率及保偏光纤器件、海底及高速光通信器件、光纤阵列和铌酸锂调制器等细分产品能力，2025年海外收入占比49.96%，业务覆盖欧美、日本等40多个国家和地区。公司拟以发行股份、可转换公司债券及支付现金方式收购苏州安捷讯光电科技99.97%股份，交易作价16.40亿元，但截至2026年9月12日仍需履行交易所审核及证监会注册程序，完成时间和业绩承诺兑现存在不确定性。</w:t>
      </w:r>
    </w:p>
    <w:p>
      <w:pPr>
        <w:spacing w:after="160" w:line="300"/>
      </w:pPr>
      <w:r>
        <w:rPr>
          <w:sz w:val="22"/>
          <w:szCs w:val="22"/>
        </w:rPr>
        <w:t xml:space="preserve">截至2026年9月11日，公司股价为289.50元，总市值约721.38亿元；按2026年上半年业绩及市场预测口径，公司仍处于较高估值水平，机构对2026—2028年盈利预测分歧较大。技术面上，股价低于MA10至MA100形成的约289~297元均线密集区，MACD为负、RSI处于中性区，近期呈现高波动、冲高回落和大单资金净流出的特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300620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2017年在深交所创业板上市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广东珠海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光纤器件、光通信器件及相关芯片和模块的研发、生产、销售与服务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业务覆盖</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产品销往欧美、日本等40多个国家和地区；2025年国内收入占50.04%，海外收入占49.96%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生产与子公司布局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拥有米兰光库、泰国光库、武汉光库、香港光库、加华微捷、光辰科技等全资子公司，以及拜安光电等控股子公司；生产场地超过13万平方米，高端生产加工设备数千套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14.74亿元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1.77亿元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纤激光器件：包括光纤隔离器、光纤光栅、光纤合束器、光纤输出头、偏振器件、准直器等，主要应用于光纤激光器、工业激光加工、激光清洗、激光医疗、传感、科研等领域。2025年收入4.98亿元，占比33.78%，同比增长17.37%，毛利率39.96%。</w:t>
      </w:r>
    </w:p>
    <w:p>
      <w:pPr>
        <w:pStyle w:val="ListParagraph"/>
        <w:numPr>
          <w:ilvl w:val="0"/>
          <w:numId w:val="2"/>
        </w:numPr>
        <w:spacing w:after="80" w:line="280"/>
      </w:pPr>
      <w:r>
        <w:rPr>
          <w:sz w:val="22"/>
          <w:szCs w:val="22"/>
        </w:rPr>
        <w:t xml:space="preserve">光通信器件：包括光隔离器、光环形器、耦合器、波分复用器、MEMS VOA光开关、保偏光纤阵列、高密度光纤阵列、MPO类连接产品、微型光纤连接组件、光纤馈通以及铌酸锂调制器芯片和器件等，主要应用于电信骨干网、城域网、海底光网络、数据中心、高速光模块、相干通信模块、WSS及AI算力网络。2025年收入7.86亿元，占比53.34%，同比增长100.37%，毛利率33.48%。</w:t>
      </w:r>
    </w:p>
    <w:p>
      <w:pPr>
        <w:pStyle w:val="ListParagraph"/>
        <w:numPr>
          <w:ilvl w:val="0"/>
          <w:numId w:val="2"/>
        </w:numPr>
        <w:spacing w:after="80" w:line="280"/>
      </w:pPr>
      <w:r>
        <w:rPr>
          <w:sz w:val="22"/>
          <w:szCs w:val="22"/>
        </w:rPr>
        <w:t xml:space="preserve">激光雷达光源模块及器件：主要面向车载激光雷达、路端激光雷达、低空应用和FMCW激光雷达，产品包括1550nm光纤激光器、激光光源模块及相关器件。2025年收入1.01亿元，占比6.87%，同比下降27.53%，毛利率12.00%。</w:t>
      </w:r>
    </w:p>
    <w:p>
      <w:pPr>
        <w:pStyle w:val="ListParagraph"/>
        <w:numPr>
          <w:ilvl w:val="0"/>
          <w:numId w:val="2"/>
        </w:numPr>
        <w:spacing w:after="80" w:line="280"/>
      </w:pPr>
      <w:r>
        <w:rPr>
          <w:sz w:val="22"/>
          <w:szCs w:val="22"/>
        </w:rPr>
        <w:t xml:space="preserve">其他器件：2025年收入0.89亿元，占比6.02%，同比增长107.99%，毛利率约41.14%。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光库科技主要位于光纤激光和光通信产业链上游，属于高技术光学器件、光无源器件、光纤器件和调制器件供应商。公司销售的并非最终通信设备或完整光模块，而是处于光模块、光通信设备和激光器之前的关键器件环节，依靠技术、工艺、可靠性和客户认证形成一定壁垒。</w:t>
      </w:r>
    </w:p>
    <w:p>
      <w:pPr>
        <w:pStyle w:val="ListParagraph"/>
        <w:numPr>
          <w:ilvl w:val="0"/>
          <w:numId w:val="2"/>
        </w:numPr>
        <w:spacing w:after="80" w:line="280"/>
      </w:pPr>
      <w:r>
        <w:rPr>
          <w:sz w:val="22"/>
          <w:szCs w:val="22"/>
        </w:rPr>
        <w:t xml:space="preserve">光纤激光器件所需投入主要包括特种光纤、光学晶体、法拉第旋转片、滤光片、金属和陶瓷结构件、精密机械件、光学镀膜材料、激光芯片及测试设备等。</w:t>
      </w:r>
    </w:p>
    <w:p>
      <w:pPr>
        <w:pStyle w:val="ListParagraph"/>
        <w:numPr>
          <w:ilvl w:val="0"/>
          <w:numId w:val="2"/>
        </w:numPr>
        <w:spacing w:after="80" w:line="280"/>
      </w:pPr>
      <w:r>
        <w:rPr>
          <w:sz w:val="22"/>
          <w:szCs w:val="22"/>
        </w:rPr>
        <w:t xml:space="preserve">光通信器件所需投入主要包括光纤、光学晶体、铌酸锂晶圆或薄膜材料、光学芯片、陶瓷和金属封装件、精密机械件、光学镀膜材料及测试设备等。</w:t>
      </w:r>
    </w:p>
    <w:p>
      <w:pPr>
        <w:pStyle w:val="ListParagraph"/>
        <w:numPr>
          <w:ilvl w:val="0"/>
          <w:numId w:val="2"/>
        </w:numPr>
        <w:spacing w:after="80" w:line="280"/>
      </w:pPr>
      <w:r>
        <w:rPr>
          <w:sz w:val="22"/>
          <w:szCs w:val="22"/>
        </w:rPr>
        <w:t xml:space="preserve">2025年营业成本约9.63亿元，其中直接材料6.07亿元，占营业成本63.02%；直接人工1.90亿元，占19.71%；直接费用1.66亿元，占17.27%。公司未逐项披露各类原材料金额及单一材料价格敏感性，不能据此进一步推导具体材料成本占比。</w:t>
      </w:r>
    </w:p>
    <w:p>
      <w:pPr>
        <w:pStyle w:val="ListParagraph"/>
        <w:numPr>
          <w:ilvl w:val="0"/>
          <w:numId w:val="2"/>
        </w:numPr>
        <w:spacing w:after="80" w:line="280"/>
      </w:pPr>
      <w:r>
        <w:rPr>
          <w:sz w:val="22"/>
          <w:szCs w:val="22"/>
        </w:rPr>
        <w:t xml:space="preserve">2025年前五大供应商采购金额1.25亿元，占年度采购总额19.42%；最大供应商占比5.33%。该数据表明供应商整体集中度不高，但光学晶体、特种光纤、铌酸锂材料、芯片及高精度加工件可能具有技术或认证门槛。</w:t>
      </w:r>
    </w:p>
    <w:p>
      <w:pPr>
        <w:pStyle w:val="ListParagraph"/>
        <w:numPr>
          <w:ilvl w:val="0"/>
          <w:numId w:val="2"/>
        </w:numPr>
        <w:spacing w:after="80" w:line="280"/>
      </w:pPr>
      <w:r>
        <w:rPr>
          <w:sz w:val="22"/>
          <w:szCs w:val="22"/>
        </w:rPr>
        <w:t xml:space="preserve">公司对通用机械件、标准光纤和一般电子材料的议价能力可能有限，更接近成本接受者；对高功率隔离器、海底光网络器件、保偏器件和薄膜铌酸锂调制器等高技术产品，则可凭借工艺、可靠性和客户认证形成一定产品溢价能力。</w:t>
      </w:r>
    </w:p>
    <w:p>
      <w:pPr>
        <w:pStyle w:val="ListParagraph"/>
        <w:numPr>
          <w:ilvl w:val="0"/>
          <w:numId w:val="2"/>
        </w:numPr>
        <w:spacing w:after="80" w:line="280"/>
      </w:pPr>
      <w:r>
        <w:rPr>
          <w:sz w:val="22"/>
          <w:szCs w:val="22"/>
        </w:rPr>
        <w:t xml:space="preserve">光纤激光器件下游主要为国内外光纤激光器厂商，终端应用包括激光切割、焊接、打标、清洗、增材制造、汽车、新能源电池、消费电子、航空航天、医疗和科研等。中低功率及标准化产品价格压力较大，高功率、保偏和特种波长器件因认证周期长、可靠性要求高，供应商替换难度相对更高。</w:t>
      </w:r>
    </w:p>
    <w:p>
      <w:pPr>
        <w:pStyle w:val="ListParagraph"/>
        <w:numPr>
          <w:ilvl w:val="0"/>
          <w:numId w:val="2"/>
        </w:numPr>
        <w:spacing w:after="80" w:line="280"/>
      </w:pPr>
      <w:r>
        <w:rPr>
          <w:sz w:val="22"/>
          <w:szCs w:val="22"/>
        </w:rPr>
        <w:t xml:space="preserve">光通信器件下游主要包括光模块企业、通信设备企业、海底光网络相关客户、数据中心产业链企业、云计算厂商、电信运营商和工业互联网客户。客户规模较大、采购专业化程度高，对产品价格、交付和良率具有较强要求。</w:t>
      </w:r>
    </w:p>
    <w:p>
      <w:pPr>
        <w:pStyle w:val="ListParagraph"/>
        <w:numPr>
          <w:ilvl w:val="0"/>
          <w:numId w:val="2"/>
        </w:numPr>
        <w:spacing w:after="80" w:line="280"/>
      </w:pPr>
      <w:r>
        <w:rPr>
          <w:sz w:val="22"/>
          <w:szCs w:val="22"/>
        </w:rPr>
        <w:t xml:space="preserve">激光雷达光源模块及器件下游处于导入、验证和小批量阶段，订单节奏受整车厂定点、自动驾驶方案路线和车型量产节奏影响较大。2025年收入、产量和销量均下降，显示该业务对下游订单变化较为敏感。</w:t>
      </w:r>
    </w:p>
    <w:p>
      <w:pPr>
        <w:pStyle w:val="ListParagraph"/>
        <w:numPr>
          <w:ilvl w:val="0"/>
          <w:numId w:val="2"/>
        </w:numPr>
        <w:spacing w:after="80" w:line="280"/>
      </w:pPr>
      <w:r>
        <w:rPr>
          <w:sz w:val="22"/>
          <w:szCs w:val="22"/>
        </w:rPr>
        <w:t xml:space="preserve">2025年前五大客户销售额5.87亿元，占年度销售总额39.83%；最大客户占比11.22%，第二大客户占比10.16%。2024年前五大客户销售额占比38.12%，两年数据接近，客户集中度总体处于中等水平。上述集中度数据来自公司年报，客户名称以“客户一”至“客户五”代称，无法直接核实具体客户身份。</w:t>
      </w:r>
    </w:p>
    <w:p>
      <w:pPr>
        <w:pStyle w:val="ListParagraph"/>
        <w:numPr>
          <w:ilvl w:val="0"/>
          <w:numId w:val="2"/>
        </w:numPr>
        <w:spacing w:after="80" w:line="280"/>
      </w:pPr>
      <w:r>
        <w:rPr>
          <w:sz w:val="22"/>
          <w:szCs w:val="22"/>
        </w:rPr>
        <w:t xml:space="preserve">2025年前五大客户应收账款占公司应收账款总额34.00%，低于2024年的45.86%，客户应收账款集中风险有所缓解。</w:t>
      </w:r>
    </w:p>
    <w:p>
      <w:pPr>
        <w:pStyle w:val="ListParagraph"/>
        <w:numPr>
          <w:ilvl w:val="0"/>
          <w:numId w:val="2"/>
        </w:numPr>
        <w:spacing w:after="80" w:line="280"/>
      </w:pPr>
      <w:r>
        <w:rPr>
          <w:sz w:val="22"/>
          <w:szCs w:val="22"/>
        </w:rPr>
        <w:t xml:space="preserve">公司以直销为主，2025年直销收入占比99.86%，经销收入占比0.14%；直销有利于技术协同、产品定制和客户认证，但也增加了客户开发、售后及应收账款管理压力。</w:t>
      </w:r>
    </w:p>
    <w:p>
      <w:pPr>
        <w:pStyle w:val="ListParagraph"/>
        <w:numPr>
          <w:ilvl w:val="0"/>
          <w:numId w:val="2"/>
        </w:numPr>
        <w:spacing w:after="80" w:line="280"/>
      </w:pPr>
      <w:r>
        <w:rPr>
          <w:sz w:val="22"/>
          <w:szCs w:val="22"/>
        </w:rPr>
        <w:t xml:space="preserve">截至2025年12月31日，应收账款5.20亿元，同比增长50.48%，约占营业收入35.31%；存货3.61亿元，同比增长34.68%，约占营业收入24.52%；应付账款2.13亿元，同比增长55.17%，应付票据0.78亿元。应收账款约为应付账款的2.44倍，表明公司对下游形成的资金占用明显高于供应商对公司的信用支持。2025年经营活动现金流净额2.31亿元，高于2024年的1.87亿元，现金回款能力未与收入增长同步恶化。</w:t>
      </w:r>
    </w:p>
    <w:p>
      <w:pPr>
        <w:pStyle w:val="ListParagraph"/>
        <w:numPr>
          <w:ilvl w:val="0"/>
          <w:numId w:val="2"/>
        </w:numPr>
        <w:spacing w:after="80" w:line="280"/>
      </w:pPr>
      <w:r>
        <w:rPr>
          <w:sz w:val="22"/>
          <w:szCs w:val="22"/>
        </w:rPr>
        <w:t xml:space="preserve">2025年前五大供应商采购占比19.42%，最大供应商占比5.33%；前五大客户销售占比39.83%，最大客户占比11.22%。供应商端集中度较低，客户端集中度处于中等水平。客户数据仅能依据年报匿名披露进行核对，具体客户质量和稳定性仍需以公司后续年报及公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34.47%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约8.40%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工业激光行业竞争激烈，光纤激光器件毛利率降至29.81%，受到价格压力；光通信器件毛利率45.18%，较高毛利产品占比仍对综合毛利率形成支撑。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约33.88%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光通信器件收入恢复增长，但海外业务拓展、研发投入及产品结构变化使综合毛利率小幅下降，净利率继续承压。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34.66%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约11.98%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功率及高附加值光纤激光器件放量，相关毛利率升至39.96%，叠加光通信器件快速增长和规模效应，推动综合毛利率及净利率回升；但光通信器件毛利率降至33.48%，激光雷达光源模块毛利率降至12.00%，规模增长尚未全面转化为定价权。</w:t>
            </w:r>
          </w:p>
        </w:tc>
      </w:tr>
    </w:tbl>
    <w:p>
      <w:pPr>
        <w:spacing w:before="200"/>
      </w:pPr>
    </w:p>
    <w:p>
      <w:pPr>
        <w:spacing w:after="160" w:line="300"/>
      </w:pPr>
      <w:r>
        <w:rPr>
          <w:sz w:val="22"/>
          <w:szCs w:val="22"/>
        </w:rPr>
        <w:t xml:space="preserve">光库科技处于光纤激光和光通信产业链的上游器件环节，属于技术、工艺和客户认证驱动的中高附加值制造商，而非资源型上游企业。公司当前表现为技术壁垒较强、规模快速扩张但下游议价能力仍有限；未来利润率提升主要依赖高功率及保偏器件占比提升、薄膜铌酸锂和高速光通信产品放量、产能良率改善、自动化降本及客户结构优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2026年上半年（截至2026年6月30日，2026年8月18日披露）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10.3166亿元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同比上升72.91%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归母净利润1.4840亿元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同比上升186.09%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同比上升82.6%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归母净利润约1.04亿元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同比上升152.67%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14.7397亿元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同比增长47.56%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归母净利润1.7667亿元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同比增长163.76%</w:t>
            </w:r>
          </w:p>
        </w:tc>
      </w:tr>
    </w:tbl>
    <w:p>
      <w:pPr>
        <w:spacing w:after="200"/>
      </w:pPr>
      <w:r>
        <w:rPr>
          <w:i/>
          <w:iCs/>
          <w:color w:val="595959"/>
          <w:sz w:val="18"/>
          <w:szCs w:val="18"/>
        </w:rPr>
        <w:t xml:space="preserve">2026年上半年扣非归母净利润为1.3145亿元，同比上升216.26%；基本每股收益0.5955元，同比上升186.02%；加权平均净资产收益率6.65%，较上年同期提升4.02个百分点。2025年度扣非归母净利润为1.3995亿元，同比增长190.11%，基本每股收益0.7090元，加权平均净资产收益率8.69%。</w:t>
      </w:r>
    </w:p>
    <w:p>
      <w:pPr>
        <w:spacing w:after="160" w:line="300"/>
      </w:pPr>
      <w:r>
        <w:rPr>
          <w:sz w:val="22"/>
          <w:szCs w:val="22"/>
        </w:rPr>
        <w:t xml:space="preserve">2026年上半年收入、归母净利润和扣非归母净利润均实现较快增长，且第二季度利润约占上半年归母净利润的70%，业绩增长主要集中在二季度。西南证券拆分数据显示，2026年上半年光通信器件业务收入约6.02亿元，同比增长115.04%，占营业收入约58.3%，毛利率约39.36%，同比提升12.89个百分点；境外收入约5.88亿元，同比增长119.34%，占营业收入约57.02%。上述业务结构数据来自券商研报，建议作为分析口径而非审计口径使用。2026年上半年经营活动产生的现金流量净额为-1.6142亿元，上年同期为1047.81万元，而2025年度经营活动现金流量净额为2.3125亿元，同比增长23.59%，利润高速增长与经营现金流转负之间的反差需要重点跟踪。</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10日，同花顺盈利预测页面显示近六个月共有3家机构进行盈利预测。机构间分歧较大，尤其是2027—2028年；国泰海通预测明显高于西南证券和天风证券。西南证券对2026—2028年营业收入预测为19.24亿、23.76亿、28.76亿元，归母净利润预测为2.43亿、3.05亿、3.72亿元，EPS预测为0.98元、1.22元、1.49元；天风证券营业收入预测约19.50亿、22.95亿、26.07亿元，归母净利润预测为2.55亿、3.26亿、3.90亿元，EPS预测为1.02元、1.31元、1.57元；国泰海通EPS预测为1.74元、4.45元、7.61元，2026年归母净利润预测为4.33亿元。较稳妥的基准情景可参考西南证券和天风证券，即2026—2028年营业收入约19亿—29亿元、归母净利润约2.4亿—3.9亿元、EPS约0.98—1.57元。上述预测来自同花顺等平台对券商研报的汇总，不是公司指引，也不代表完整市场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平均预测19.37亿元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平均预测3.10亿元；预测区间2.43亿—4.33亿元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平均预测1.25元；预测区间0.98—1.74元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平均预测23.36亿元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平均预测5.80亿元；预测区间3.05亿—11.09亿元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平均预测2.33元；预测区间1.22—4.45元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平均预测27.42亿元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平均预测8.86亿元；预测区间3.72亿—18.96亿元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平均预测3.56元；预测区间1.49—7.61元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目标价不超过240.30元；预测2026年归母净利润4.33亿元。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2026年6月18日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预测2026年归母净利润约2.55亿元；公开页面未显示明确目标价。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评级未明确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半年报点评预测2026—2028年归母净利润为2.43亿、3.05亿、3.72亿元，EPS为0.98元、1.22元、1.49元；研报正文披露估值约为292倍、233倍和191倍，公开摘要未明确显示评级和目标价。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同花顺机构评级汇总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近六个月显示有2家机构发布相关研究报告，评级均为“增持”，机构平均目标价为240.30元；该目标价主要由国泰海通报告提供，不能视为广泛覆盖机构的一致目标价。</w:t>
            </w:r>
          </w:p>
        </w:tc>
      </w:tr>
    </w:tbl>
    <w:p>
      <w:pPr>
        <w:spacing w:before="200"/>
      </w:pPr>
    </w:p>
    <w:p>
      <w:pPr>
        <w:spacing w:after="160" w:line="300"/>
      </w:pPr>
      <w:r>
        <w:rPr>
          <w:sz w:val="22"/>
          <w:szCs w:val="22"/>
        </w:rPr>
        <w:t xml:space="preserve">截至2026年9月10日收盘，股价约300.00元，总市值约747.54亿元，市盈率TTM约273.63倍，市净率约33.11倍，数据采用理杏仁行情数据平台口径。按2025年归母EPS 0.709元计算，静态市盈率约423倍。按同花顺平均EPS计算，2026—2028年预期PE约为240倍、129倍和84倍；按西南证券预测分别约为306倍、246倍和201倍；按天风证券预测分别约为294倍、229倍和191倍；按国泰海通预测分别约为172倍、67倍和39倍。按国泰海通目标价240.30元计算，较约300元的股价低约19.9%，当前股价高于近期可检索的机构目标价。整体看，公司基本面增长较快，但当前估值处于极高水平，即便按照同花顺平均预测，2026年动态PE约240倍、2027年仍约129倍；机构预测分歧以及经营现金流转负均构成估值判断的不确定性。后续估值能否维持，取决于高速光通信器件订单放量、薄膜铌酸锂产品规模出货、利润增长向经营现金流转化，以及高增长能否达到更为激进的机构预测。</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重大资产重组仍在推进，尚未完成</w:t>
      </w:r>
    </w:p>
    <w:p>
      <w:pPr>
        <w:spacing w:after="160" w:line="300"/>
      </w:pPr>
      <w:r>
        <w:rPr>
          <w:sz w:val="22"/>
          <w:szCs w:val="22"/>
        </w:rPr>
        <w:t xml:space="preserve">光库科技拟通过发行股份、可转换公司债券及支付现金的方式，购买张关明、苏州讯诺投资合伙企业（有限合伙）、刘晓明、杜文刚、于壮成合计持有的苏州安捷讯光电科技股份有限公司99.97%股份，并拟向不超过35名特定投资者发行股份募集配套资金。本次交易作价16.395080亿元，其中现金对价约4.918524亿元、股份对价约6.558194亿元、可转换公司债券对价约4.918362亿元。因公司实施2025年度利润分配，发行股份及可转债初始转股价格由37.45元/股调整为37.25元/股。</w:t>
      </w:r>
    </w:p>
    <w:p>
      <w:pPr>
        <w:pStyle w:val="Heading2"/>
        <w:spacing w:after="120" w:before="240"/>
      </w:pPr>
      <w:r>
        <w:rPr>
          <w:b/>
          <w:bCs/>
          <w:color w:val="2E74B5"/>
          <w:sz w:val="24"/>
          <w:szCs w:val="24"/>
        </w:rPr>
        <w:t xml:space="preserve">4.2 重组仍需审核及注册，交易完成时间存在不确定性</w:t>
      </w:r>
    </w:p>
    <w:p>
      <w:pPr>
        <w:spacing w:after="160" w:line="300"/>
      </w:pPr>
      <w:r>
        <w:rPr>
          <w:sz w:val="22"/>
          <w:szCs w:val="22"/>
        </w:rPr>
        <w:t xml:space="preserve">截至2026年9月12日，公开公告未披露交易完成、标的资产过户或募集配套资金发行完成。本次交易仍需履行深圳证券交易所审核及中国证监会注册等程序，存在审核、注册、交易实施及标的公司业绩承诺兑现等不确定性。交易对方承诺安捷讯2025年至2027年度扣除非经常性损益后归属于母公司股东的净利润合计不低于4.95亿元。</w:t>
      </w:r>
    </w:p>
    <w:p>
      <w:pPr>
        <w:pStyle w:val="Heading2"/>
        <w:spacing w:after="120" w:before="240"/>
      </w:pPr>
      <w:r>
        <w:rPr>
          <w:b/>
          <w:bCs/>
          <w:color w:val="2E74B5"/>
          <w:sz w:val="24"/>
          <w:szCs w:val="24"/>
        </w:rPr>
        <w:t xml:space="preserve">4.3 独立财务顾问主办人发生变更</w:t>
      </w:r>
    </w:p>
    <w:p>
      <w:pPr>
        <w:spacing w:after="160" w:line="300"/>
      </w:pPr>
      <w:r>
        <w:rPr>
          <w:sz w:val="22"/>
          <w:szCs w:val="22"/>
        </w:rPr>
        <w:t xml:space="preserve">2026年8月28日，公司公告称，独立财务顾问华泰联合证券原主办人陈忆南因工作变动不再担任本次重组独立财务顾问主办人，变更后主办人为崔志强、郭子腾、张宁湘，其余财务顾问人员继续履行职责。该事项属于中介团队变更，未披露交易终止或审核出现重大障碍。</w:t>
      </w:r>
    </w:p>
    <w:p>
      <w:pPr>
        <w:pStyle w:val="Heading2"/>
        <w:spacing w:after="120" w:before="240"/>
      </w:pPr>
      <w:r>
        <w:rPr>
          <w:b/>
          <w:bCs/>
          <w:color w:val="2E74B5"/>
          <w:sz w:val="24"/>
          <w:szCs w:val="24"/>
        </w:rPr>
        <w:t xml:space="preserve">4.4 2026年半年度业绩预告大幅增长</w:t>
      </w:r>
    </w:p>
    <w:p>
      <w:pPr>
        <w:spacing w:after="160" w:line="300"/>
      </w:pPr>
      <w:r>
        <w:rPr>
          <w:sz w:val="22"/>
          <w:szCs w:val="22"/>
        </w:rPr>
        <w:t xml:space="preserve">2026年7月7日，公司预计2026年1月至6月归属于上市公司股东的净利润为1.4005亿元至1.5042亿元，同比增长170%至190%；扣除非经常性损益后的净利润为1.2428亿元至1.3259亿元，同比增长199%至219%。公司称，业绩增长主要受全球AI算力基础设施投资、数据中心建设、高速光模块及光器件需求增长，以及产销规模扩大、规模效应和降本增效带动。</w:t>
      </w:r>
    </w:p>
    <w:p>
      <w:pPr>
        <w:pStyle w:val="Heading2"/>
        <w:spacing w:after="120" w:before="240"/>
      </w:pPr>
      <w:r>
        <w:rPr>
          <w:b/>
          <w:bCs/>
          <w:color w:val="2E74B5"/>
          <w:sz w:val="24"/>
          <w:szCs w:val="24"/>
        </w:rPr>
        <w:t xml:space="preserve">4.5 半年度报告显示业绩预告兑现</w:t>
      </w:r>
    </w:p>
    <w:p>
      <w:pPr>
        <w:spacing w:after="160" w:line="300"/>
      </w:pPr>
      <w:r>
        <w:rPr>
          <w:sz w:val="22"/>
          <w:szCs w:val="22"/>
        </w:rPr>
        <w:t xml:space="preserve">2026年8月18日披露的半年度报告显示，公司上半年营业收入10.3166亿元，同比增长72.91%；归属于上市公司股东的净利润1.4840亿元，同比增长186.09%；扣除非经常性损益后的净利润1.3145亿元，同比增长216.26%。正式披露数据落在此前业绩预告区间内，公司将增长归因于AI算力及数据中心需求增长、新产品推出、客户拓展和规模效应。</w:t>
      </w:r>
    </w:p>
    <w:p>
      <w:pPr>
        <w:pStyle w:val="Heading2"/>
        <w:spacing w:after="120" w:before="240"/>
      </w:pPr>
      <w:r>
        <w:rPr>
          <w:b/>
          <w:bCs/>
          <w:color w:val="2E74B5"/>
          <w:sz w:val="24"/>
          <w:szCs w:val="24"/>
        </w:rPr>
        <w:t xml:space="preserve">4.6 经营现金流为负并计提减值准备</w:t>
      </w:r>
    </w:p>
    <w:p>
      <w:pPr>
        <w:spacing w:after="160" w:line="300"/>
      </w:pPr>
      <w:r>
        <w:rPr>
          <w:sz w:val="22"/>
          <w:szCs w:val="22"/>
        </w:rPr>
        <w:t xml:space="preserve">公司2026年上半年经营活动产生的现金流量净额为-1.6142亿元，较上年同期明显下降；上半年计提信用减值准备及资产减值准备合计2185.49万元，其中应收账款坏账准备1440.88万元、存货跌价准备750.36万元。后续需关注应收账款、存货及营运资金占用情况。</w:t>
      </w:r>
    </w:p>
    <w:p>
      <w:pPr>
        <w:pStyle w:val="Heading2"/>
        <w:spacing w:after="120" w:before="240"/>
      </w:pPr>
      <w:r>
        <w:rPr>
          <w:b/>
          <w:bCs/>
          <w:color w:val="2E74B5"/>
          <w:sz w:val="24"/>
          <w:szCs w:val="24"/>
        </w:rPr>
        <w:t xml:space="preserve">4.7 股东会补选非独立董事</w:t>
      </w:r>
    </w:p>
    <w:p>
      <w:pPr>
        <w:spacing w:after="160" w:line="300"/>
      </w:pPr>
      <w:r>
        <w:rPr>
          <w:sz w:val="22"/>
          <w:szCs w:val="22"/>
        </w:rPr>
        <w:t xml:space="preserve">2026年8月5日，公司召开2026年第一次临时股东会，审议通过薪酬管理制度，并补选付豪为第四届董事会非独立董事，议案同意票占出席会议有效表决权股份的99.8770%。会议共有523名股东出席，代表股份117,746,648股，占公司有表决权股份总数47.2535%；其中中小股东520名，代表股份占有表决权股份总数8.1575%。</w:t>
      </w:r>
    </w:p>
    <w:p>
      <w:pPr>
        <w:pStyle w:val="Heading2"/>
        <w:spacing w:after="120" w:before="240"/>
      </w:pPr>
      <w:r>
        <w:rPr>
          <w:b/>
          <w:bCs/>
          <w:color w:val="2E74B5"/>
          <w:sz w:val="24"/>
          <w:szCs w:val="24"/>
        </w:rPr>
        <w:t xml:space="preserve">4.8 股东户数增加，控股股东及实际控制人未发生变动</w:t>
      </w:r>
    </w:p>
    <w:p>
      <w:pPr>
        <w:spacing w:after="160" w:line="300"/>
      </w:pPr>
      <w:r>
        <w:rPr>
          <w:sz w:val="22"/>
          <w:szCs w:val="22"/>
        </w:rPr>
        <w:t xml:space="preserve">截至2026年6月30日，公司股东户数约8.59万户，较上一期增加约2.36万户；该数据来自第三方公告整理页面，最终应以公司定期报告和后续股东名册披露为准。中信证券2026年半年度跟踪报告称，截至2026年6月30日，未发现公司控股股东及实际控制人发生变动。</w:t>
      </w:r>
    </w:p>
    <w:p>
      <w:pPr>
        <w:pStyle w:val="Heading2"/>
        <w:spacing w:after="120" w:before="240"/>
      </w:pPr>
      <w:r>
        <w:rPr>
          <w:b/>
          <w:bCs/>
          <w:color w:val="2E74B5"/>
          <w:sz w:val="24"/>
          <w:szCs w:val="24"/>
        </w:rPr>
        <w:t xml:space="preserve">4.9 未发现近期回购及明确增减持公告</w:t>
      </w:r>
    </w:p>
    <w:p>
      <w:pPr>
        <w:spacing w:after="160" w:line="300"/>
      </w:pPr>
      <w:r>
        <w:rPr>
          <w:sz w:val="22"/>
          <w:szCs w:val="22"/>
        </w:rPr>
        <w:t xml:space="preserve">截至2026年9月12日，在已检索到的公司公告及深交所相关公告范围内，未发现公司在2026年7月至9月期间披露股份回购方案、回购进展或注销回购股份公告，也未发现控股股东、实际控制人或董监高披露明确的增持、减持计划及实施公告。公司2026年半年度报告列示股本为249,180,545股，公告信息未显示近期因回购导致股本变化。该检索性结论不等同于对所有交易行为作绝对否定。</w:t>
      </w:r>
    </w:p>
    <w:p>
      <w:pPr>
        <w:pStyle w:val="Heading2"/>
        <w:spacing w:after="120" w:before="240"/>
      </w:pPr>
      <w:r>
        <w:rPr>
          <w:b/>
          <w:bCs/>
          <w:color w:val="2E74B5"/>
          <w:sz w:val="24"/>
          <w:szCs w:val="24"/>
        </w:rPr>
        <w:t xml:space="preserve">4.10 使用暂时闲置募集资金进行现金管理</w:t>
      </w:r>
    </w:p>
    <w:p>
      <w:pPr>
        <w:spacing w:after="160" w:line="300"/>
      </w:pPr>
      <w:r>
        <w:rPr>
          <w:sz w:val="22"/>
          <w:szCs w:val="22"/>
        </w:rPr>
        <w:t xml:space="preserve">2026年8月18日，公司披露使用部分暂时闲置募集资金进行现金管理的进展公告。公司此前获授权使用不超过2.10亿元暂时闲置募集资金进行现金管理；本次认购广发银行结构性存款1000万元，起息日为2026年8月18日，到期日为2026年11月16日，预期年化收益率为0.5%或1.68%。公告称，该事项不会影响募投项目建设和主营业务正常开展。</w:t>
      </w:r>
    </w:p>
    <w:p>
      <w:pPr>
        <w:pStyle w:val="Heading2"/>
        <w:spacing w:after="120" w:before="240"/>
      </w:pPr>
      <w:r>
        <w:rPr>
          <w:b/>
          <w:bCs/>
          <w:color w:val="2E74B5"/>
          <w:sz w:val="24"/>
          <w:szCs w:val="24"/>
        </w:rPr>
        <w:t xml:space="preserve">4.11 保荐机构持续督导未发现重大问题</w:t>
      </w:r>
    </w:p>
    <w:p>
      <w:pPr>
        <w:spacing w:after="160" w:line="300"/>
      </w:pPr>
      <w:r>
        <w:rPr>
          <w:sz w:val="22"/>
          <w:szCs w:val="22"/>
        </w:rPr>
        <w:t xml:space="preserve">中信证券于2026年9月4日披露2026年半年度跟踪报告，覆盖期间为2026年1月1日至6月30日。报告称，未发现公司在信息披露、内部制度执行、股东会及董事会运作、募集资金存放使用、关联交易、对外担保及资产购买出售等方面存在重大问题，也未发现控股股东及实际控制人发生变动。</w:t>
      </w:r>
    </w:p>
    <w:p>
      <w:pPr>
        <w:pStyle w:val="Heading2"/>
        <w:spacing w:after="120" w:before="240"/>
      </w:pPr>
      <w:r>
        <w:rPr>
          <w:b/>
          <w:bCs/>
          <w:color w:val="2E74B5"/>
          <w:sz w:val="24"/>
          <w:szCs w:val="24"/>
        </w:rPr>
        <w:t xml:space="preserve">4.12 未发现重大监管负面信息</w:t>
      </w:r>
    </w:p>
    <w:p>
      <w:pPr>
        <w:spacing w:after="160" w:line="300"/>
      </w:pPr>
      <w:r>
        <w:rPr>
          <w:sz w:val="22"/>
          <w:szCs w:val="22"/>
        </w:rPr>
        <w:t xml:space="preserve">中信证券称，2026年1月1日至6月30日期间，作为保荐人未被中国证监会和深圳证券交易所采取监管措施。根据本次检索，暂未发现2026年7月至9月12日期间光库科技被立案调查、行政处罚、交易所纪律处分或重大问询函等公司特定监管负面信息；监管信息可能存在披露滞后或遗漏，仍需持续跟踪。</w:t>
      </w:r>
    </w:p>
    <w:p>
      <w:pPr>
        <w:pStyle w:val="Heading2"/>
        <w:spacing w:after="120" w:before="240"/>
      </w:pPr>
      <w:r>
        <w:rPr>
          <w:b/>
          <w:bCs/>
          <w:color w:val="2E74B5"/>
          <w:sz w:val="24"/>
          <w:szCs w:val="24"/>
        </w:rPr>
        <w:t xml:space="preserve">4.13 近期其他公告及整体判断</w:t>
      </w:r>
    </w:p>
    <w:p>
      <w:pPr>
        <w:spacing w:after="160" w:line="300"/>
      </w:pPr>
      <w:r>
        <w:rPr>
          <w:sz w:val="22"/>
          <w:szCs w:val="22"/>
        </w:rPr>
        <w:t xml:space="preserve">2026年8月18日，公司披露半年度报告、募集资金存放与使用专项报告、关联资金往来情况、华发集团财务公司风险持续评估报告、减值准备公告及现金管理进展公告等共8项公告。综合来看，截至2026年9月12日，公司消息面主要集中于半年报业绩高增长、苏州安捷讯重大资产重组持续推进，以及现金流为负和减值准备等后续关注事项。2026年9月1日至9月12日期间未检索到新的重大并购进展、回购、股东增减持或监管处罚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光库科技（300620，深圳证券交易所创业板）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289.50元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-10.50元，-3.50%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295.02元/304.02元/276.39元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约13.77万手/约39.66亿元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约721.38亿元/约716.04亿元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约413.30元/约86.50~92.00元；低点因行情源、复权处理或更新时间不同存在口径差异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2026年8月17日至9月11日，收盘价由326.70元降至289.50元，下降约11.4%；较8月31日收盘价319.00元下降约9.2%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近期波动区间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最近一个交易周股价在276.39~306.00元区间反复震荡，日内振幅明显扩大</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移动平均线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MA5约284.85元；MA10约292.29元；MA20约293.48元；MA50约292.02元；MA100约297.20元；MA200约277.35元。另有“标准”和“移动”两组均线数值，部分数值存在差异。</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收盘价高于MA5、MA200，低于MA10、MA20和MA50；MA10~MA100约289~297元形成短期密集压力区。均线数值受复权方式、计算时点和页面算法影响，不宜将单一数值视为绝对点位。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-1.70，技术信号为卖出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位于弱势区域，短线动能偏弱；现有数据不足以确认新的大级别死叉或底背离，不宜据此直接推断中期趋势反转。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47.706，评级为中性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位于50附近，未进入通常意义上的超买或超卖区，股价更接近震荡偏弱状态，而非强烈技术性底部信号。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基于近20个交易日收盘价简化测算：中轨约298.7元，上轨约325元，下轨约272元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该数据为公开历史收盘价按常见20日、2倍标准差算法估算，并非行情终端直接披露值。289.50元低于近20日价格均值，位于估算布林带中下部；276~280元附近与近期低点、MA200及估算布林下轨形成支撑重叠区。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资金流向（2026年9月11日）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超大单净流出1.8066亿元，大单净流出1.7693亿元；中单净流入0.5889亿元，小单净流入2.9870亿元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超大单与大单合计净流出约3.58亿元，中小单合计净流入约3.58亿元，呈现大单流出、小单承接结构。该统计为第三方按成交单大小划分的口径，不等同于真实机构账户流向。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近一周日均成交额约33亿元，日均换手率约4.4%；近期成交额约20亿~42亿元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9月11日成交额和换手率高于近几日常态，但股价收跌，显示高成交主要伴随分歧和抛压释放，而非单纯放量上涨。</w:t>
            </w:r>
          </w:p>
        </w:tc>
      </w:tr>
    </w:tbl>
    <w:p>
      <w:pPr>
        <w:spacing w:before="200"/>
      </w:pPr>
    </w:p>
    <w:p>
      <w:pPr>
        <w:spacing w:after="160" w:line="300"/>
      </w:pPr>
      <w:r>
        <w:rPr>
          <w:sz w:val="22"/>
          <w:szCs w:val="22"/>
        </w:rPr>
        <w:t xml:space="preserve">光库科技近期呈现高波动、冲高回落特征。2026年9月11日收盘价为289.50元，低于MA10、MA20、MA50和MA100构成的约289~297元短期均线密集区，但仍高于MA200约277.35元。MACD为负、RSI处于中性区，技术面体现为短线动能偏弱、尚未出现明显超卖信号。价格下方关注276~284元支撑区及269~273元强支撑区，上方关注293~300元均线压力区和304~306元前高压力区。资金面上，9月11日大单资金明显净流出，需结合后续成交额、价格位置及大单资金方向观察反弹是否获得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风险提示：以下内容仅为基于截至2026年9月11日收盘数据及公开技术指标的主观情景推演，不构成投资建议，也不构成对未来股价的确定性预测。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293~300元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对应MA10、MA20、MA50、MA100附近均线密集区及9月10日收盘价300元。若重新站上并保持成交额放大，可进一步观察304~306元；若多次冲击失败，则说明均线压力仍然有效。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304~306元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对应近期高点密集区。若放量突破并收盘站稳，可能打开向319~325元区间修复的空间；该判断依赖于成交量和连续收盘确认。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276~284元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对应9月11日盘中低点276.39元、MA200约277.35元及近期交易低点。若有效跌破276元，短线可能进一步测试269~273元。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269~273元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对应技术页面经典枢轴S3约269.43元、S2约273.34元，并接近简化估算的布林下轨区域。若放量跌破，可能继续寻找更低阶段性支撑，短线风险上升。</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指标、成交量和资金流向的主观启发式判断，不是统计概率。）：价格区间约276~300元。触发条件为股价守住276~284元支撑，但无法有效突破300~306元压力；成交额维持约25亿~40亿元，主力资金流向反复。对应短线弱势修复和区间震荡，而非明确趋势反转。</w:t>
      </w:r>
    </w:p>
    <w:p>
      <w:pPr>
        <w:pStyle w:val="ListParagraph"/>
        <w:numPr>
          <w:ilvl w:val="0"/>
          <w:numId w:val="2"/>
        </w:numPr>
        <w:spacing w:after="80" w:line="280"/>
      </w:pPr>
      <w:r>
        <w:rPr>
          <w:sz w:val="22"/>
          <w:szCs w:val="22"/>
        </w:rPr>
        <w:t xml:space="preserve">偏弱下行（权重中等；该权重为主观情景判断，不是统计概率。）：价格区间约260~276元。触发条件为有效跌破276元且单日成交额明显放大、主力资金继续净流出，或通信、光模块、CPO等相关板块整体走弱。若276元失守，先观察269~273元；若该区间也不能形成承接，则需防范向更低阶段支撑回落。</w:t>
      </w:r>
    </w:p>
    <w:p>
      <w:pPr>
        <w:pStyle w:val="ListParagraph"/>
        <w:numPr>
          <w:ilvl w:val="0"/>
          <w:numId w:val="2"/>
        </w:numPr>
        <w:spacing w:after="80" w:line="280"/>
      </w:pPr>
      <w:r>
        <w:rPr>
          <w:sz w:val="22"/>
          <w:szCs w:val="22"/>
        </w:rPr>
        <w:t xml:space="preserve">反弹走强（权重偏低，但并非没有可能；该权重为主观情景判断，不是统计概率。）：价格区间约300~325元。触发条件为放量突破300~306元，单日成交额达到40亿~45亿元以上，大单资金由净流出转为连续净流入，且相关光通信板块保持强势。若突破有效，可观察319元附近及估算布林上轨约325元区域，但MACD为负、MA10至MA100仍有压制，单日冲高不能直接等同于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额约39.66亿元、换手率5.57%；近一周成交额大致为20亿~42亿元，近期常态成交额约25亿~35亿元，股票整体并非低流动性小盘股，正常交易下买卖冲击相对有限，但较大的股价波动仍可能带来盘中滑点和交易冲击。股东结构数据显示，截至2026年6月30日，前十大股东合计持股约1.44亿股，占总股本约57.93%；按流通股口径，前十大流通股东合计持股比例约58.09%。前四大股东合计持股约51.4%，集中度较高；前十大股东中同时出现华泰柏瑞质量成长混合A、国泰中证全指通信设备ETF、中航机遇领航混合发起A及香港中央结算有限公司等机构或基金持仓，并非只有控股股东和产业资本。股东户数由2026年3月31日的62,321户增至2026年6月30日的85,905户，显示中小投资者数量增加、筹码可能阶段性分散。上述股东数据存在季度滞后，不能完全代表2026年9月11日的实时筹码结构。9月11日超大单和大单合计净流出约3.58亿元，说明当日资金分歧和抛压较为明显。</w:t>
      </w:r>
    </w:p>
    <w:p>
      <w:pPr>
        <w:spacing w:after="160" w:line="300"/>
      </w:pPr>
      <w:r>
        <w:rPr>
          <w:sz w:val="22"/>
          <w:szCs w:val="22"/>
        </w:rPr>
        <w:t xml:space="preserve">可检查的量能确认信号：若股价重新站上300~306元，同时单日成交额连续达到40亿~45亿元以上，并伴随大单资金连续净流入，可视为短线资金重新介入的确认信号；若成交额放大但股价跌破276元，则更可能反映放量下跌或筹码交换压力。</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观察276~284元支撑区能否守住，尤其关注276元附近是否出现放量破位；该内容为观察思路，非操作指令。</w:t>
      </w:r>
    </w:p>
    <w:p>
      <w:pPr>
        <w:pStyle w:val="ListParagraph"/>
        <w:numPr>
          <w:ilvl w:val="0"/>
          <w:numId w:val="2"/>
        </w:numPr>
        <w:spacing w:after="80" w:line="280"/>
      </w:pPr>
      <w:r>
        <w:rPr>
          <w:sz w:val="22"/>
          <w:szCs w:val="22"/>
        </w:rPr>
        <w:t xml:space="preserve">观察293~300元均线密集压力区能否重新站稳；该内容为观察思路，非操作指令。</w:t>
      </w:r>
    </w:p>
    <w:p>
      <w:pPr>
        <w:pStyle w:val="ListParagraph"/>
        <w:numPr>
          <w:ilvl w:val="0"/>
          <w:numId w:val="2"/>
        </w:numPr>
        <w:spacing w:after="80" w:line="280"/>
      </w:pPr>
      <w:r>
        <w:rPr>
          <w:sz w:val="22"/>
          <w:szCs w:val="22"/>
        </w:rPr>
        <w:t xml:space="preserve">观察304~306元前高压力是否出现放量突破，并结合是否连续收盘站稳判断；该内容为观察思路，非操作指令。</w:t>
      </w:r>
    </w:p>
    <w:p>
      <w:pPr>
        <w:pStyle w:val="ListParagraph"/>
        <w:numPr>
          <w:ilvl w:val="0"/>
          <w:numId w:val="2"/>
        </w:numPr>
        <w:spacing w:after="80" w:line="280"/>
      </w:pPr>
      <w:r>
        <w:rPr>
          <w:sz w:val="22"/>
          <w:szCs w:val="22"/>
        </w:rPr>
        <w:t xml:space="preserve">观察成交额是否持续放大至40亿~45亿元以上，以及大单资金能否由净流出转为连续净流入；该内容为观察思路，非操作指令。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公司所处行业涵盖光纤激光器件、光通信器件、光芯片和激光雷达光源等多个细分领域。行业竞争壁垒主要来自产品性能、可靠性、客户认证、量产良率、自动化能力和全球交付能力。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光纤激光器件：国内产业已基本完成中低功率及部分中高功率产品国产替代，参与者较多，竞争重点由单纯价格竞争转向高功率、高可靠性、保偏、特种波长和快速定制能力；行业仍受工业制造投资周期、激光器价格竞争及下游设备厂商降本压力影响。</w:t>
      </w:r>
    </w:p>
    <w:p>
      <w:pPr>
        <w:pStyle w:val="ListParagraph"/>
        <w:numPr>
          <w:ilvl w:val="0"/>
          <w:numId w:val="2"/>
        </w:numPr>
        <w:spacing w:after="80" w:line="280"/>
      </w:pPr>
      <w:r>
        <w:rPr>
          <w:sz w:val="22"/>
          <w:szCs w:val="22"/>
        </w:rPr>
        <w:t xml:space="preserve">光通信器件：AI算力和数据中心扩容推动800G、1.6T及更高速率光模块、光纤阵列、光连接器、高速调制器和CPO相关器件需求增长；行业演进方向包括高速率、低功耗、小型化、高密度、光子集成、薄膜铌酸锂、硅光、LPO和CPO。</w:t>
      </w:r>
    </w:p>
    <w:p>
      <w:pPr>
        <w:pStyle w:val="ListParagraph"/>
        <w:numPr>
          <w:ilvl w:val="0"/>
          <w:numId w:val="2"/>
        </w:numPr>
        <w:spacing w:after="80" w:line="280"/>
      </w:pPr>
      <w:r>
        <w:rPr>
          <w:sz w:val="22"/>
          <w:szCs w:val="22"/>
        </w:rPr>
        <w:t xml:space="preserve">光通信客户通常规模较大、采购专业化程度较高，对供应商的可靠性、交付能力、量产良率和产品迭代速度要求较高，行业存在规模化和客户集中趋势。</w:t>
      </w:r>
    </w:p>
    <w:p>
      <w:pPr>
        <w:pStyle w:val="ListParagraph"/>
        <w:numPr>
          <w:ilvl w:val="0"/>
          <w:numId w:val="2"/>
        </w:numPr>
        <w:spacing w:after="80" w:line="280"/>
      </w:pPr>
      <w:r>
        <w:rPr>
          <w:sz w:val="22"/>
          <w:szCs w:val="22"/>
        </w:rPr>
        <w:t xml:space="preserve">激光雷达光源属于成长型但波动较大的市场，客户验证周期长，订单与整车厂定点、自动驾驶方案路线及车型量产节奏密切相关。光库科技该业务2025年收入和产销量下降，仍处于波动和持续验证阶段。</w:t>
      </w:r>
    </w:p>
    <w:p>
      <w:pPr>
        <w:pStyle w:val="ListParagraph"/>
        <w:numPr>
          <w:ilvl w:val="0"/>
          <w:numId w:val="2"/>
        </w:numPr>
        <w:spacing w:after="80" w:line="280"/>
      </w:pPr>
      <w:r>
        <w:rPr>
          <w:sz w:val="22"/>
          <w:szCs w:val="22"/>
        </w:rPr>
        <w:t xml:space="preserve">公司2025年海外收入占比49.96%，海外收入同比增长86.23%，但同时面临汇率、贸易政策、海外供应链和全球客户认证风险；2025年汇兑损失约1,219万元。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天孚通信（300394）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主要聚焦光通信精密光学元件、光器件及高速有源、无源产品，重点服务数据中心和高速光模块客户。</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更集中于高速光模块配套的精密光器件；光库科技同时覆盖光纤激光器件、光通信器件、铌酸锂调制器和激光雷达光源。</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仕佳光子（688313）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业务包括光芯片及器件、室内光缆和线缆高分子材料，产品覆盖PLC光分路器芯片、AWG芯片、DFB激光器芯片、光纤连接器及相关器件。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在光芯片和光纤连接器产品线更突出；光库科技在高功率光纤器件、保偏器件、海底光网络器件和铌酸锂调制器方面更有特色。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太辰光（300570）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主营光通信器件及其集成产品，重点产品包括MPO/MTP高密度连接器、MT插芯、光纤阵列和光纤适配器等。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更偏向光通信连接和高密度无源器件，与光库科技的光纤阵列、光纤连接组件和数据中心器件存在一定重叠。</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光迅科技（002281）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主营光电子器件、模块和子系统，覆盖电信传输、接入网、数据通信、光放大器、无源器件和高速光模块，具备从芯片、器件到模块的垂直整合能力。</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规模更大、产品体系更完整，既处于光库科技部分客户所在环节，也在部分无源器件、调制器件和光模块领域形成竞争。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Lumentum、Coherent等海外厂商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在高端光通信器件、激光器、光模块和光子集成领域具有较强技术积累。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部分产品与光库科技存在竞争关系，但业务规模、产品范围和全球客户结构明显不同，更适合用于判断国际技术和客户竞争位置，不适合作为A股财务指标的直接可比公司。</w:t>
            </w:r>
          </w:p>
        </w:tc>
      </w:tr>
    </w:tbl>
    <w:p>
      <w:pPr>
        <w:spacing w:before="200"/>
      </w:pPr>
    </w:p>
    <w:p>
      <w:pPr>
        <w:spacing w:after="160" w:line="300"/>
      </w:pPr>
      <w:r>
        <w:rPr>
          <w:sz w:val="22"/>
          <w:szCs w:val="22"/>
        </w:rPr>
        <w:t xml:space="preserve">光库科技相比天孚通信更具光纤激光器件、铌酸锂调制器和激光雷达光源等多元化特征；相比仕佳光子，其优势更多体现于高功率光纤器件、保偏器件、海底光网络器件和铌酸锂调制器；相比太辰光，业务覆盖范围更广，但在光纤阵列、光纤连接组件和数据中心器件方面存在一定重叠；相比光迅科技，光库科技规模和产品体系相对较小，主要聚焦关键光学器件及部分高壁垒细分环节。公司的核心竞争力集中于高功率和保偏光纤器件、海底及高速光通信器件、光纤阵列和铌酸锂调制器等较高壁垒环节。</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经营现金流与利润增长背离：2026年上半年经营活动现金流量净额为-1.6142亿元，而归母净利润同比增长186.09%；若应收账款和存货继续增长，利润增长可能无法同步转化为现金回款。</w:t>
      </w:r>
    </w:p>
    <w:p>
      <w:pPr>
        <w:pStyle w:val="ListParagraph"/>
        <w:numPr>
          <w:ilvl w:val="0"/>
          <w:numId w:val="2"/>
        </w:numPr>
        <w:spacing w:after="80" w:line="280"/>
      </w:pPr>
      <w:r>
        <w:rPr>
          <w:sz w:val="22"/>
          <w:szCs w:val="22"/>
        </w:rPr>
        <w:t xml:space="preserve">营运资金占用和减值风险：截至2025年末应收账款5.20亿元，同比增长50.48%，约占营业收入35.31%；存货3.61亿元，同比增长34.68%。2026年上半年已计提信用减值及资产减值准备合计2185.49万元，其中应收账款坏账准备1440.88万元、存货跌价准备750.36万元。</w:t>
      </w:r>
    </w:p>
    <w:p>
      <w:pPr>
        <w:pStyle w:val="ListParagraph"/>
        <w:numPr>
          <w:ilvl w:val="0"/>
          <w:numId w:val="2"/>
        </w:numPr>
        <w:spacing w:after="80" w:line="280"/>
      </w:pPr>
      <w:r>
        <w:rPr>
          <w:sz w:val="22"/>
          <w:szCs w:val="22"/>
        </w:rPr>
        <w:t xml:space="preserve">光通信器件收入快速增长但定价能力仍需验证：2025年该业务收入同比增长100.37%，但毛利率由较高水平降至33.48%；客户规模较大、采购专业化程度高，若下游客户持续压价或产品竞争加剧，规模增长可能难以完全转化为利润增长。</w:t>
      </w:r>
    </w:p>
    <w:p>
      <w:pPr>
        <w:pStyle w:val="ListParagraph"/>
        <w:numPr>
          <w:ilvl w:val="0"/>
          <w:numId w:val="2"/>
        </w:numPr>
        <w:spacing w:after="80" w:line="280"/>
      </w:pPr>
      <w:r>
        <w:rPr>
          <w:sz w:val="22"/>
          <w:szCs w:val="22"/>
        </w:rPr>
        <w:t xml:space="preserve">激光雷达业务存在较大波动：2025年激光雷达光源模块及器件收入同比下降27.53%，毛利率仅12.00%，且该业务受整车厂定点、自动驾驶技术路线和车型量产节奏影响，后续收入和盈利存在较强不确定性。</w:t>
      </w:r>
    </w:p>
    <w:p>
      <w:pPr>
        <w:pStyle w:val="ListParagraph"/>
        <w:numPr>
          <w:ilvl w:val="0"/>
          <w:numId w:val="2"/>
        </w:numPr>
        <w:spacing w:after="80" w:line="280"/>
      </w:pPr>
      <w:r>
        <w:rPr>
          <w:sz w:val="22"/>
          <w:szCs w:val="22"/>
        </w:rPr>
        <w:t xml:space="preserve">重大资产重组存在实施及整合风险：公司拟以16.40亿元交易作价收购苏州安捷讯光电科技99.97%股份，但截至2026年9月12日尚未完成审核、注册、资产过户及配套资金发行；交易完成时间、标的资产整合效果和2025年至2027年累计4.95亿元扣非净利润承诺的兑现均存在不确定性。</w:t>
      </w:r>
    </w:p>
    <w:p>
      <w:pPr>
        <w:pStyle w:val="ListParagraph"/>
        <w:numPr>
          <w:ilvl w:val="0"/>
          <w:numId w:val="2"/>
        </w:numPr>
        <w:spacing w:after="80" w:line="280"/>
      </w:pPr>
      <w:r>
        <w:rPr>
          <w:sz w:val="22"/>
          <w:szCs w:val="22"/>
        </w:rPr>
        <w:t xml:space="preserve">海外经营面临汇率和贸易因素影响：2025年海外收入占比49.96%，海外收入同比增长86.23%，但公司当年汇兑损失约1219万元，同时还面临贸易政策、海外供应链和全球客户认证等风险。</w:t>
      </w:r>
    </w:p>
    <w:p>
      <w:pPr>
        <w:pStyle w:val="ListParagraph"/>
        <w:numPr>
          <w:ilvl w:val="0"/>
          <w:numId w:val="2"/>
        </w:numPr>
        <w:spacing w:after="80" w:line="280"/>
      </w:pPr>
      <w:r>
        <w:rPr>
          <w:sz w:val="22"/>
          <w:szCs w:val="22"/>
        </w:rPr>
        <w:t xml:space="preserve">估值和市场波动风险较高：截至2026年9月11日股价289.50元、总市值约721.38亿元；截至9月10日收盘的市场数据口径下，公司市盈率TTM约273.63倍，机构对2026—2028年盈利预测分歧较大。近期股价自8月17日至9月11日下降约11.4%，9月11日超大单和大单合计净流出约3.58亿元，若业绩或预期不及市场要求，估值波动可能进一步放大。</w:t>
      </w:r>
    </w:p>
    <w:p>
      <w:pPr>
        <w:pStyle w:val="ListParagraph"/>
        <w:numPr>
          <w:ilvl w:val="0"/>
          <w:numId w:val="2"/>
        </w:numPr>
        <w:spacing w:after="80" w:line="280"/>
      </w:pPr>
      <w:r>
        <w:rPr>
          <w:sz w:val="22"/>
          <w:szCs w:val="22"/>
        </w:rPr>
        <w:t xml:space="preserve">客户结构和供应链仍需持续跟踪：2025年前五大客户销售额占比39.83%，最大客户占比11.22%，公司直销收入占比99.86%，对客户开发、认证、交付及回款管理要求较高；虽然前五大供应商采购占比仅19.42%，但特种光纤、光学晶体、铌酸锂材料、芯片及高精度加工件仍可能存在技术和认证门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光库科技的增长逻辑主要集中在AI算力和数据中心建设带动的高速光通信器件需求，以及高功率光纤器件、薄膜铌酸锂和高速光通信产品的持续放量。2026年上半年业绩已验证需求扩张和规模效应对收入、利润的推动作用，若新产品能够持续实现规模出货，同时产能良率、自动化和客户结构进一步改善，公司盈利能力仍存在提升空间。重大资产重组若顺利完成，也可能扩充产品和业务能力，但其影响需以交易最终完成及标的业绩兑现为前提。</w:t>
      </w:r>
    </w:p>
    <w:p>
      <w:pPr>
        <w:spacing w:after="160" w:line="300"/>
      </w:pPr>
      <w:r>
        <w:rPr>
          <w:sz w:val="22"/>
          <w:szCs w:val="22"/>
        </w:rPr>
        <w:t xml:space="preserve">需要重点关注增长质量和估值消化能力。2026年上半年经营现金流转负，且应收账款、存货及信用和资产减值准备均有所增加，后续业绩增长能否同步转化为现金回款将影响财务质量。与此同时，光通信器件毛利率、海外业务汇兑因素、激光雷达业务波动以及客户对价格、交付和良率的要求，均可能导致利润增速低于收入增速。当前估值对未来高速增长已有较高预期，机构预测区间较宽，基本面兑现程度与估值匹配度仍需持续观察。</w:t>
      </w:r>
    </w:p>
    <w:p>
      <w:pPr>
        <w:spacing w:after="160" w:line="300"/>
      </w:pPr>
      <w:r>
        <w:rPr>
          <w:sz w:val="22"/>
          <w:szCs w:val="22"/>
        </w:rPr>
        <w:t xml:space="preserve">短期技术走势显示市场分歧较大，276~284元附近为重要支撑观察区，293~300元及304~306元附近存在压力，后续价格表现仍取决于成交量、资金流向、业绩兑现和市场风险偏好。上述技术区间仅反映截至2026年9月11日的历史数据，不能替代对公司经营基本面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光库科技(300620)_公司公告_光库科技：2026年半年度报告摘要新浪财经_新浪网 — https://vip.stock.finance.sina.com.cn/corp/view/vCB_AllBulletinDetail.php?id=12499016&amp;stockid=300620</w:t>
      </w:r>
    </w:p>
    <w:p>
      <w:pPr>
        <w:spacing w:after="200"/>
      </w:pPr>
      <w:r>
        <w:rPr>
          <w:i/>
          <w:iCs/>
          <w:color w:val="595959"/>
          <w:sz w:val="18"/>
          <w:szCs w:val="18"/>
        </w:rPr>
        <w:t xml:space="preserve">2026半年报点评：AI高速光互联驱动业绩高增，薄膜铌酸锂打开成长空间- 宏观研究报告 _ 数据中心 _ 东方财富网 — https://data.eastmoney.com/report/info/AP202609081829114113.html</w:t>
      </w:r>
    </w:p>
    <w:p>
      <w:pPr>
        <w:spacing w:after="200"/>
      </w:pPr>
      <w:r>
        <w:rPr>
          <w:i/>
          <w:iCs/>
          <w:color w:val="595959"/>
          <w:sz w:val="18"/>
          <w:szCs w:val="18"/>
        </w:rPr>
        <w:t xml:space="preserve">光库科技（300620）8月20日主力资金净买入5.39亿元_股票频道_证券之星 — https://stock.stockstar.com/RB2026082000026572.shtml?utm_source=openai</w:t>
      </w:r>
    </w:p>
    <w:p>
      <w:pPr>
        <w:spacing w:after="200"/>
      </w:pPr>
      <w:r>
        <w:rPr>
          <w:i/>
          <w:iCs/>
          <w:color w:val="595959"/>
          <w:sz w:val="18"/>
          <w:szCs w:val="18"/>
        </w:rPr>
        <w:t xml:space="preserve">公司公告_光库科技：2025年度财务决算报告新浪财经_新浪网 — https://money.finance.sina.com.cn/corp/view/vCB_AllBulletinDetail.php?id=12012883&amp;utm_source=openai</w:t>
      </w:r>
    </w:p>
    <w:p>
      <w:pPr>
        <w:spacing w:after="200"/>
      </w:pPr>
      <w:r>
        <w:rPr>
          <w:i/>
          <w:iCs/>
          <w:color w:val="595959"/>
          <w:sz w:val="18"/>
          <w:szCs w:val="18"/>
        </w:rPr>
        <w:t xml:space="preserve">光库科技(300620) 盈利预测_F10_同花顺金融服务网 — https://basic.10jqka.com.cn/176/300620/worth.html</w:t>
      </w:r>
    </w:p>
    <w:p>
      <w:pPr>
        <w:spacing w:after="200"/>
      </w:pPr>
      <w:r>
        <w:rPr>
          <w:i/>
          <w:iCs/>
          <w:color w:val="595959"/>
          <w:sz w:val="18"/>
          <w:szCs w:val="18"/>
        </w:rPr>
        <w:t xml:space="preserve">机构评级|国泰海通证券给予光库科技“增持”评级 — https://stock.10jqka.com.cn/20260804/c678657208.shtml</w:t>
      </w:r>
    </w:p>
    <w:p>
      <w:pPr>
        <w:spacing w:after="200"/>
      </w:pPr>
      <w:r>
        <w:rPr>
          <w:i/>
          <w:iCs/>
          <w:color w:val="595959"/>
          <w:sz w:val="18"/>
          <w:szCs w:val="18"/>
        </w:rPr>
        <w:t xml:space="preserve">光库科技(300620)市盈率|估值|基本面 - 理杏仁 — https://www.lixinger.com/equity/company/detail/sz/300620/300620/fundamental/valuation/pe-ttm?utm_source=openai</w:t>
      </w:r>
    </w:p>
    <w:p>
      <w:pPr>
        <w:spacing w:after="200"/>
      </w:pPr>
      <w:r>
        <w:rPr>
          <w:i/>
          <w:iCs/>
          <w:color w:val="595959"/>
          <w:sz w:val="18"/>
          <w:szCs w:val="18"/>
        </w:rPr>
        <w:t xml:space="preserve">光库科技(300620)_公司公告_光库科技：2026年半年度报告新浪财经_新浪网 — https://money.finance.sina.com.cn/corp/view/vCB_AllBulletinDetail.php?id=12499014&amp;stockid=300620</w:t>
      </w:r>
    </w:p>
    <w:p>
      <w:pPr>
        <w:spacing w:after="200"/>
      </w:pPr>
      <w:r>
        <w:rPr>
          <w:i/>
          <w:iCs/>
          <w:color w:val="595959"/>
          <w:sz w:val="18"/>
          <w:szCs w:val="18"/>
        </w:rPr>
        <w:t xml:space="preserve">光库科技(300620)_公司公告_光库科技：关于变更独立财务顾问主办人的公告新浪财经_新浪网 — https://money.finance.sina.com.cn/corp/view/vCB_AllBulletinDetail.php?id=12565272&amp;stockid=300620&amp;utm_source=openai</w:t>
      </w:r>
    </w:p>
    <w:p>
      <w:pPr>
        <w:spacing w:after="200"/>
      </w:pPr>
      <w:r>
        <w:rPr>
          <w:i/>
          <w:iCs/>
          <w:color w:val="595959"/>
          <w:sz w:val="18"/>
          <w:szCs w:val="18"/>
        </w:rPr>
        <w:t xml:space="preserve">光库科技(300620)_公司公告_光库科技：2-1重大资产重组报告书新浪财经_新浪网 — https://money.finance.sina.com.cn/corp/view/vCB_AllBulletinDetail.php?id=12412775&amp;stockid=300620&amp;utm_source=openai</w:t>
      </w:r>
    </w:p>
    <w:p>
      <w:pPr>
        <w:spacing w:after="200"/>
      </w:pPr>
      <w:r>
        <w:rPr>
          <w:i/>
          <w:iCs/>
          <w:color w:val="595959"/>
          <w:sz w:val="18"/>
          <w:szCs w:val="18"/>
        </w:rPr>
        <w:t xml:space="preserve">证券代码：300620　　证券简称：光库科技　　公告编号：2026-038 — https://static.cninfo.com.cn/finalpage/2026-06-25/1225388288.PDF?utm_source=openai</w:t>
      </w:r>
    </w:p>
    <w:p>
      <w:pPr>
        <w:spacing w:after="200"/>
      </w:pPr>
      <w:r>
        <w:rPr>
          <w:i/>
          <w:iCs/>
          <w:color w:val="595959"/>
          <w:sz w:val="18"/>
          <w:szCs w:val="18"/>
        </w:rPr>
        <w:t xml:space="preserve">光库科技: 北京德恒律师事务所关于珠海光库科技股份有限公司发行股份、可转换公司债券及支付现金购买资产并募集配套资金暨关联交易的补充法律意见（三）内容摘要_公告简述_数据解析_股票_证券之星 — https://wap.stockstar.com/detail/AN2026062600000185?utm_source=openai</w:t>
      </w:r>
    </w:p>
    <w:p>
      <w:pPr>
        <w:spacing w:after="200"/>
      </w:pPr>
      <w:r>
        <w:rPr>
          <w:i/>
          <w:iCs/>
          <w:color w:val="595959"/>
          <w:sz w:val="18"/>
          <w:szCs w:val="18"/>
        </w:rPr>
        <w:t xml:space="preserve">证券代码：300620　　证券简称：光库科技　　公告编号：2026-044 — https://static.cninfo.com.cn/finalpage/2026-07-07/1225412846.PDF?utm_source=openai</w:t>
      </w:r>
    </w:p>
    <w:p>
      <w:pPr>
        <w:spacing w:after="200"/>
      </w:pPr>
      <w:r>
        <w:rPr>
          <w:i/>
          <w:iCs/>
          <w:color w:val="595959"/>
          <w:sz w:val="18"/>
          <w:szCs w:val="18"/>
        </w:rPr>
        <w:t xml:space="preserve">光库科技(300620)_公司公告_光库科技：2026年半年度报告新浪财经_新浪网 — https://money.finance.sina.com.cn/corp/view/vCB_AllBulletinDetail.php?id=12499014&amp;stockid=300620&amp;utm_source=openai</w:t>
      </w:r>
    </w:p>
    <w:p>
      <w:pPr>
        <w:spacing w:after="200"/>
      </w:pPr>
      <w:r>
        <w:rPr>
          <w:i/>
          <w:iCs/>
          <w:color w:val="595959"/>
          <w:sz w:val="18"/>
          <w:szCs w:val="18"/>
        </w:rPr>
        <w:t xml:space="preserve">https://disc.static.szse.cn/disc/disk03/finalpage/2026-08-18/4548e750-7716-4c58-ba08-16312df26937.PDF — https://disc.static.szse.cn/disc/disk03/finalpage/2026-08-18/4548e750-7716-4c58-ba08-16312df26937.PDF</w:t>
      </w:r>
    </w:p>
    <w:p>
      <w:pPr>
        <w:spacing w:after="200"/>
      </w:pPr>
      <w:r>
        <w:rPr>
          <w:i/>
          <w:iCs/>
          <w:color w:val="595959"/>
          <w:sz w:val="18"/>
          <w:szCs w:val="18"/>
        </w:rPr>
        <w:t xml:space="preserve">https://disc.static.szse.cn/disc/disk03/finalpage/2026-08-05/20c5db27-09ce-4447-9498-6a41217cb12f.PDF — https://disc.static.szse.cn/disc/disk03/finalpage/2026-08-05/20c5db27-09ce-4447-9498-6a41217cb12f.PDF</w:t>
      </w:r>
    </w:p>
    <w:p>
      <w:pPr>
        <w:spacing w:after="200"/>
      </w:pPr>
      <w:r>
        <w:rPr>
          <w:i/>
          <w:iCs/>
          <w:color w:val="595959"/>
          <w:sz w:val="18"/>
          <w:szCs w:val="18"/>
        </w:rPr>
        <w:t xml:space="preserve">光库科技_ 个股日历 _ 东方财富网_ 数据频道 — https://data.eastmoney.com/stockcalendar/300620.html?utm_source=openai</w:t>
      </w:r>
    </w:p>
    <w:p>
      <w:pPr>
        <w:spacing w:after="200"/>
      </w:pPr>
      <w:r>
        <w:rPr>
          <w:i/>
          <w:iCs/>
          <w:color w:val="595959"/>
          <w:sz w:val="18"/>
          <w:szCs w:val="18"/>
        </w:rPr>
        <w:t xml:space="preserve">https://disc.static.szse.cn/disc/disk03/finalpage/2026-09-04/c8767ae3-9b1e-4fe8-bc01-9aa4de2261e5.PDF — https://disc.static.szse.cn/disc/disk03/finalpage/2026-09-04/c8767ae3-9b1e-4fe8-bc01-9aa4de2261e5.PDF</w:t>
      </w:r>
    </w:p>
    <w:p>
      <w:pPr>
        <w:spacing w:after="200"/>
      </w:pPr>
      <w:r>
        <w:rPr>
          <w:i/>
          <w:iCs/>
          <w:color w:val="595959"/>
          <w:sz w:val="18"/>
          <w:szCs w:val="18"/>
        </w:rPr>
        <w:t xml:space="preserve">光库科技(300620)公告(全部) - 理杏仁 — https://www.lixinger.com/equity/company/detail/sz/300620/300620/announcement</w:t>
      </w:r>
    </w:p>
    <w:p>
      <w:pPr>
        <w:spacing w:after="200"/>
      </w:pPr>
      <w:r>
        <w:rPr>
          <w:i/>
          <w:iCs/>
          <w:color w:val="595959"/>
          <w:sz w:val="18"/>
          <w:szCs w:val="18"/>
        </w:rPr>
        <w:t xml:space="preserve">https://disc.static.szse.cn/disc/disk03/finalpage/2026-08-18/318fdd4b-c683-49c5-be9e-0d1bfde6da11.PDF — https://disc.static.szse.cn/disc/disk03/finalpage/2026-08-18/318fdd4b-c683-49c5-be9e-0d1bfde6da11.PDF</w:t>
      </w:r>
    </w:p>
    <w:p>
      <w:pPr>
        <w:spacing w:after="200"/>
      </w:pPr>
      <w:r>
        <w:rPr>
          <w:i/>
          <w:iCs/>
          <w:color w:val="595959"/>
          <w:sz w:val="18"/>
          <w:szCs w:val="18"/>
        </w:rPr>
        <w:t xml:space="preserve">光库科技(300620)公司公告_新浪财经_新浪网 — https://vip.stock.finance.sina.com.cn/corp/go.php/vCB_AllBulletin/stockid/300620.phtml?utm_source=openai</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光库科技(300620)股票信息 - 数据平台 — https://data.agoer.com/cms/Index/detail?id=300620&amp;utm_source=openai</w:t>
      </w:r>
    </w:p>
    <w:p>
      <w:pPr>
        <w:spacing w:after="200"/>
      </w:pPr>
      <w:r>
        <w:rPr>
          <w:i/>
          <w:iCs/>
          <w:color w:val="595959"/>
          <w:sz w:val="18"/>
          <w:szCs w:val="18"/>
        </w:rPr>
        <w:t xml:space="preserve">光库科技(300620)股票历史数据:历史行情,价格,走势图表_英为财情Investing.com — https://cn.investing.com/equities/advanced-fiber-resources-zhuhai-historical-data</w:t>
      </w:r>
    </w:p>
    <w:p>
      <w:pPr>
        <w:spacing w:after="200"/>
      </w:pPr>
      <w:r>
        <w:rPr>
          <w:i/>
          <w:iCs/>
          <w:color w:val="595959"/>
          <w:sz w:val="18"/>
          <w:szCs w:val="18"/>
        </w:rPr>
        <w:t xml:space="preserve">光庫科技300620股票行情，報價、圖表、新聞 - 微牛Webull — https://www.webull.hk/quote/szse-300620?utm_source=openai</w:t>
      </w:r>
    </w:p>
    <w:p>
      <w:pPr>
        <w:spacing w:after="200"/>
      </w:pPr>
      <w:r>
        <w:rPr>
          <w:i/>
          <w:iCs/>
          <w:color w:val="595959"/>
          <w:sz w:val="18"/>
          <w:szCs w:val="18"/>
        </w:rPr>
        <w:t xml:space="preserve">光库科技(300620)股票行情走势技术分析_未来预测_买卖操作建议_英为财情Investing.com — https://cn.investing.com/equities/advanced-fiber-resources-zhuhai-technical</w:t>
      </w:r>
    </w:p>
    <w:p>
      <w:pPr>
        <w:spacing w:after="200"/>
      </w:pPr>
      <w:r>
        <w:rPr>
          <w:i/>
          <w:iCs/>
          <w:color w:val="595959"/>
          <w:sz w:val="18"/>
          <w:szCs w:val="18"/>
        </w:rPr>
        <w:t xml:space="preserve">光库科技(300620) 千股千评 _ 数据中心 _ 东方财富网 — https://data.eastmoney.com/stockcomment/stock/300620.html?utm_source=openai</w:t>
      </w:r>
    </w:p>
    <w:p>
      <w:pPr>
        <w:spacing w:after="200"/>
      </w:pPr>
      <w:r>
        <w:rPr>
          <w:i/>
          <w:iCs/>
          <w:color w:val="595959"/>
          <w:sz w:val="18"/>
          <w:szCs w:val="18"/>
        </w:rPr>
        <w:t xml:space="preserve">光库科技(300620)_资金流向_证券之星 — https://stock.quote.stockstar.com/capital_300620.shtml</w:t>
      </w:r>
    </w:p>
    <w:p>
      <w:pPr>
        <w:spacing w:after="200"/>
      </w:pPr>
      <w:r>
        <w:rPr>
          <w:i/>
          <w:iCs/>
          <w:color w:val="595959"/>
          <w:sz w:val="18"/>
          <w:szCs w:val="18"/>
        </w:rPr>
        <w:t xml:space="preserve">光库科技 (300620) - 历史交易数据 | 打板客网 — https://dabanke.com/hangqing-300620.html</w:t>
      </w:r>
    </w:p>
    <w:p>
      <w:pPr>
        <w:spacing w:after="200"/>
      </w:pPr>
      <w:r>
        <w:rPr>
          <w:i/>
          <w:iCs/>
          <w:color w:val="595959"/>
          <w:sz w:val="18"/>
          <w:szCs w:val="18"/>
        </w:rPr>
        <w:t xml:space="preserve">光库科技(300620) 股东研究_F10_同花顺金融服务网 — https://basic.10jqka.com.cn/300620/holder.html</w:t>
      </w:r>
    </w:p>
    <w:p>
      <w:pPr>
        <w:spacing w:after="200"/>
      </w:pPr>
      <w:r>
        <w:rPr>
          <w:i/>
          <w:iCs/>
          <w:color w:val="595959"/>
          <w:sz w:val="18"/>
          <w:szCs w:val="18"/>
        </w:rPr>
        <w:t xml:space="preserve">本报告由AI基于公开渠道信息自动检索、整理并生成，信息截至 截至2026年9月11日收盘；均线、MACD、RSI等部分技术页面数据截至2026年9月12日凌晨左右，股东结构数据截至2026年6月30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2026-09-13T12:35:29.296Z</dcterms:created>
  <dcterms:modified xsi:type="dcterms:W3CDTF">2026-09-13T12:35:29.296Z</dcterms:modified>
</cp:coreProperties>
</file>

<file path=docProps/custom.xml><?xml version="1.0" encoding="utf-8"?>
<Properties xmlns="http://schemas.openxmlformats.org/officeDocument/2006/custom-properties" xmlns:vt="http://schemas.openxmlformats.org/officeDocument/2006/docPropsVTypes"/>
</file>