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光威复材 (300699)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行业：碳纤维及复合材料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报告日期：2026年10月1日</w:t>
      </w:r>
    </w:p>
    <w:p>
      <w:pPr>
        <w:jc w:val="center"/>
      </w:pPr>
      <w:r>
        <w:rPr>
          <w:color w:val="595959"/>
          <w:sz w:val="20"/>
          <w:szCs w:val="20"/>
        </w:rPr>
        <w:t xml:space="preserve">行情及估值数据截至2026-09-30收盘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核心结论：碳梁放量尚未扭转利润下滑，估值回落后仍需验证盈利修复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0"/>
      </w:tblGrid>
      <w:tr>
        <w:trPr>
          <w:tblHeader/>
        </w:trPr>
        <w:tc>
          <w:tcPr>
            <w:tcW w:type="dxa" w:w="3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关键数据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22.83元（+0.97%）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约189.80亿元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35.62倍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3.47倍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PS(TTM)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6.37倍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52周区间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22.35～46.7元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成交额/换手率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1.17亿元 / 0.63%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行情数据截至：行情及估值数据截至2026-09-30收盘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一、投资要点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增收不增利仍是当前核心矛盾</w:t>
      </w:r>
      <w:r>
        <w:rPr>
          <w:sz w:val="22"/>
          <w:szCs w:val="22"/>
        </w:rPr>
        <w:t xml:space="preserve">：2026年上半年营收13.19亿元、同比增长9.83%，归母净利润1.99亿元、同比下降26.21%，毛利率同比下降2.96个百分点。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碳梁放量增长但结构改善有限</w:t>
      </w:r>
      <w:r>
        <w:rPr>
          <w:sz w:val="22"/>
          <w:szCs w:val="22"/>
        </w:rPr>
        <w:t xml:space="preserve">：2025年碳梁收入增长75.84%、占比32.99%，毛利率28.79%；碳纤维及织物收入仅增0.34%，毛利率52.67%且成本增长14.09%。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估值低于历史中位但盈利兑现未明</w:t>
      </w:r>
      <w:r>
        <w:rPr>
          <w:sz w:val="22"/>
          <w:szCs w:val="22"/>
        </w:rPr>
        <w:t xml:space="preserve">：9月30日收盘22.83元，PE-TTM 35.62倍、44%分位，低于36.93倍中位数；PB 3.47倍、PS 6.37倍均处近5.2年0%分位。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市场预期与证据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市场在定价</w:t>
      </w:r>
      <w:r>
        <w:rPr>
          <w:sz w:val="22"/>
          <w:szCs w:val="22"/>
        </w:rPr>
        <w:t xml:space="preserve">：市场隐含每股收益年均增长约17.8%；机构预测净利增速为2026—2028年20.7%、18.3%、14.2%，定价要求接近三年平均，低于前两年预测而高于2028年增速。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证据显示</w:t>
      </w:r>
      <w:r>
        <w:rPr>
          <w:sz w:val="22"/>
          <w:szCs w:val="22"/>
        </w:rPr>
        <w:t xml:space="preserve">：增长假设尚未被近期业绩验证：2026年上半年收入增长近10%，归母及扣非净利却均降逾25%；碳梁放量明确，但低于纤维业务的毛利率及成本上升压制利润。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证据倾向：偏空；置信度：中</w:t>
      </w:r>
    </w:p>
    <w:p>
      <w:pPr>
        <w:spacing w:after="160" w:line="300"/>
      </w:pPr>
      <w:r>
        <w:rPr>
          <w:sz w:val="22"/>
          <w:szCs w:val="22"/>
        </w:rPr>
        <w:t xml:space="preserve">上半年利润与现金流走弱证据明确；碳梁放量和历史低位估值提供支撑，但盈利预测分歧较大。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二、生意与竞争力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业务结构</w:t>
      </w:r>
    </w:p>
    <w:p>
      <w:pPr>
        <w:spacing w:after="160" w:line="300"/>
      </w:pPr>
      <w:r>
        <w:rPr>
          <w:sz w:val="22"/>
          <w:szCs w:val="22"/>
        </w:rPr>
        <w:t xml:space="preserve">销售碳纤维及织物、风电碳梁、预浸料和复合材料制品，面向航空航天、风电等客户，以产品性能、认证和订单规模实现收入。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1300"/>
        <w:gridCol w:w="1400"/>
        <w:gridCol w:w="3800"/>
      </w:tblGrid>
      <w:tr>
        <w:trPr>
          <w:tblHeader/>
        </w:trPr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业务板块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收入占比</w:t>
            </w:r>
          </w:p>
        </w:tc>
        <w:tc>
          <w:tcPr>
            <w:tcW w:type="dxa" w:w="1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收入增速</w:t>
            </w:r>
          </w:p>
        </w:tc>
        <w:tc>
          <w:tcPr>
            <w:tcW w:type="dxa" w:w="3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要点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碳纤维及织物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50.95%（2025年）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52.67%（2025年）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0.34%（2025年）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收入基本持平，成本同比增长14.09%，毛利率下滑。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碳梁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32.99%（2025年）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28.79%（2025年）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75.84%（2025年）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前期开发客户批产订单推进、放量。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预浸料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8.31%（2025年）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约23.04%（2025年，按年报收入及成本估算）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1.75%（2025年）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年报未单列披露毛利率，按收入及成本估算。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制品及其他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7.32%（2025年）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约19.50%（2025年，按年报收入及成本估算）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-5.11%（2025年）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年报未单列披露毛利率，按收入及成本估算。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其他业务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0.43%（2025年）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69.33%（2025年）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收入规模占比较小。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竞争优势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竞争优势强度：中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高性能纤维工艺积累：覆盖T300至T1100及多种M级牌号；T1100实现百吨级工程化制备并开始小批量供货。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航空航天认证与验证：拓展纤维具民航、航天体系认证，T300碳纤维及织物获中国商飞PCD批准。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碳梁认证与交付：获DNV产品认证，2025年销量同比增长82.88%。</w:t>
      </w:r>
    </w:p>
    <w:p>
      <w:pPr>
        <w:spacing w:after="160" w:line="300"/>
      </w:pPr>
      <w:r>
        <w:rPr>
          <w:sz w:val="22"/>
          <w:szCs w:val="22"/>
        </w:rPr>
        <w:t xml:space="preserve">主要威胁：碳纤维价格竞争、包头基地开工不足及碳梁低于纤维业务的毛利率，可能持续压低综合利润率；客户集中也放大订单与议价变化影响。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产业链位置与盈利趋势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碳纤维生产需要PAN基原丝及能源；预浸料、碳梁使用碳纤维等增强体及环氧、双马等树脂体系。年报未披露分品类采购金额和单价。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2025年前五大供应商采购额占39.89%，第一大占12.11%；供应商匿名。通用原辅料价格控制力有限，公开披露不足以量化议价能力。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产品直销至航空航天及装备制造、风电、氢能、体育休闲、电子等领域；高端产品认证和验证可能提高客户切换成本。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碳梁面对大型叶片及风电客户，价格受规模订单、成本和交付能力影响；未见年报证据证明存在特定年度降价条款。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2025年年报：前五大客户占收入78.19%，第一大占37.07%；客户匿名，无法独立识别最终行业及采购关系，具体以最新年报为准。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2025年末应收账款13.11亿元，约占全年营收45.8%；估算周转约139天。应收账款、票据及应收款项融资合计约18.67亿元；经营现金流净额同比增50.05%，公司称原辅料广泛采用票据支付。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800"/>
        <w:gridCol w:w="1800"/>
        <w:gridCol w:w="48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变动原因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2021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44.43%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29.09%（归母净利率）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碳纤维、碳梁及预浸料构成业务。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2022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49.08%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37.20%（归母净利率）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成本降幅较大；净利率受其他收益等影响。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48.66%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34.68%（归母净利率）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供需转弱、竞争加剧，收入近乎持平而净利下降。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45.55%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30.25%（归母净利率）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新材料制造收入下降、成本基本持平。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39.80%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21.10%（归母净利率）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成本增速高于收入，碳梁占比提升且包头开工不足。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公司处于高性能碳纤维材料与中游预浸料、复材加工的一体化位置，高端认证业务毛利较高，碳梁提供规模增长。利润率改善取决于高端产品放量、包头基地利用率提升、碳梁降本及客户结构分散。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2.4 行业与同行对比</w:t>
      </w:r>
    </w:p>
    <w:p>
      <w:pPr>
        <w:spacing w:after="160" w:line="300"/>
      </w:pPr>
      <w:r>
        <w:rPr>
          <w:sz w:val="22"/>
          <w:szCs w:val="22"/>
        </w:rPr>
        <w:t xml:space="preserve">高性能碳纤维认证和工程化能力构成进入门槛，但行业价格竞争与产能利用率已影响公司利润；碳梁快速放量带来增长，也使业务结构向较低毛利板块倾斜。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300"/>
        <w:gridCol w:w="2600"/>
        <w:gridCol w:w="29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可比数据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与本公司差异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中简科技（300777）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高性能碳纤维直接可比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2025年营收8.46亿元，综合毛利率64.85%；PE-TTM 155.75倍（2026-09-28）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体量较小，产品结构和高端应用定位与光威部分业务可比。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中复神鹰（688295）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PAN基碳纤维直接可比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2025年营收21.94亿元，碳纤维主营毛利率16.73%，归母净利0.96亿元；PE—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2025年处于扭亏阶段；未取得截止日前可核实的统一PE快照。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吉林碳谷（920077）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PAN基原丝及碳丝供给端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2025年营收25.37亿元，综合毛利率17.73%；PE 37.14倍（2026-09-29）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处于原丝及碳丝环节，不具光威的多板块复材业务组合。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吉林化纤（000420）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产业链相邻，主营结构差异较大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2025年碳纤维产品毛利率为负；扣非PE-TTM 266.12倍（2026-09-18）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兼有粘胶业务，碳纤维盈利状态与光威差异显著。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光威兼有高端碳纤维、碳梁、预浸料及复材制品，业务组合更完整；认证与产品验证支撑高毛利纤维业务。短板是2025年毛利率明显回落、客户集中度高，且碳梁放量尚未同步转化为更高利润率。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三、财务质量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1100"/>
        <w:gridCol w:w="1600"/>
        <w:gridCol w:w="1100"/>
        <w:gridCol w:w="1400"/>
        <w:gridCol w:w="16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扣非同比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2026年上半年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13.19亿元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+9.83%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1.99亿元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-26.21%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-25.18%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39.53%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28.60亿元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+16.72%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6.03亿元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-18.59%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-17.58%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39.80%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24.50亿元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-2.69%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7.41亿元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-15.12%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-6.15%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约45.55%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截至2026年10月1日；2026年上半年为正式披露数，二季度单季数据为累计数差额估算。</w:t>
      </w:r>
    </w:p>
    <w:p>
      <w:pPr>
        <w:spacing w:after="160" w:line="300"/>
      </w:pPr>
      <w:r>
        <w:rPr>
          <w:sz w:val="22"/>
          <w:szCs w:val="22"/>
        </w:rPr>
        <w:t xml:space="preserve">2026年上半年收入增长但归母、扣非利润均降逾25%，毛利率同比下降2.96个百分点；回款减少、汇兑损失及信用减值拖累利润和现金流。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财务健康检查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1100"/>
        <w:gridCol w:w="44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加权平均ROE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3.44%；2026年上半年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低于上年同期4.76%，盈利能力走弱。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资产负债率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40.5%；2026年6月末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较2025年末约37.23%上升。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经营现金流/归母净利润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约-57%；2026年上半年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经营现金流转负，公司称主要因销售回款减少。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应收账款周转天数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约177天；2026年上半年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半年度口径，回款与信用减值压力需跟踪。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四、估值与市场预期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估值水平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900"/>
        <w:gridCol w:w="28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自身历史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同行对比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35.62倍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近5.2年44%分位（中位数36.93倍）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吉林碳谷39.33倍（9月10日）；中复神鹰228.33倍（10月1日）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3.47倍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近5.2年0%分位（中位数4.96倍）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吉林碳谷3.03倍（9月10日）；中复神鹰6.99倍（10月1日）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6.37倍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近5.2年0%分位（中位数10.4倍）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约2.2%；按2025年度分红估算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吉林碳谷约0.72%；中复神鹰约0.09%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估值倍数由程序按2026-09-30收盘数据计算（滚动十二个月口径）</w:t>
      </w:r>
    </w:p>
    <w:p>
      <w:pPr>
        <w:spacing w:after="160" w:line="300"/>
      </w:pPr>
      <w:r>
        <w:rPr>
          <w:sz w:val="22"/>
          <w:szCs w:val="22"/>
        </w:rPr>
        <w:t xml:space="preserve">市场隐含预期：以当前35.62倍市盈率计，若投资者要求年化8%的回报、10年后按15倍市盈率估值，每股收益需年均增长约17.8%（不计分红，偏保守），可与下方一致预期增速对照。</w:t>
      </w:r>
    </w:p>
    <w:p>
      <w:pPr>
        <w:spacing w:after="160" w:line="300"/>
      </w:pPr>
      <w:r>
        <w:rPr>
          <w:sz w:val="22"/>
          <w:szCs w:val="22"/>
        </w:rPr>
        <w:t xml:space="preserve">PE-TTM 35.62倍，处近5.2年44%分位、略低于36.93倍中位数；PB 3.47倍和PS 6.37倍均处历史0%分位，显示估值已明显回落。市场隐含EPS年均增长约17.8%，接近机构三年净利增速均值，但高于2028年14.2%的预测；若利润修复不及预期，低PB、PS不必然构成估值支撑。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一致预期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400"/>
        <w:gridCol w:w="2200"/>
        <w:gridCol w:w="1900"/>
        <w:gridCol w:w="19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净利润增速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每股收益(EPS)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32.03亿元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7.28亿元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约+20.7%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0.88元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2027年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36.62亿元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8.61亿元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约+18.3%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1.04元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2028年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40.62亿元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9.83亿元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约+14.2%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1.18元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同花顺F10截至2026年10月1日汇总约10家机构预测；2026年归母净利润区间5.95亿—7.57亿元，机构分歧较明显。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机构观点</w:t>
      </w:r>
    </w:p>
    <w:p>
      <w:pPr>
        <w:spacing w:after="160" w:line="300"/>
      </w:pPr>
      <w:r>
        <w:rPr>
          <w:sz w:val="22"/>
          <w:szCs w:val="22"/>
        </w:rPr>
        <w:t xml:space="preserve">富途截至2026年8月31日汇总均值41.73元、区间38.00—47.28元；可查目标价报告最新为东方证券2026年4月26日。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9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国联民生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推荐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2026-09-05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下调2026—2028年归母净利润至5.95/8.16/9.50亿元。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东吴证券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2026-08-26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预测2026—2028年归母净利润7.50/8.70/10.00亿元。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东方证券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2026-04-26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目标价39.60元。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国泰海通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2026-04-03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目标价43.25元。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五、催化剂与近期事件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未来关键节点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时间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事件</w:t>
            </w:r>
          </w:p>
        </w:tc>
        <w:tc>
          <w:tcPr>
            <w:tcW w:type="dxa" w:w="4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看点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2026-10-27（预约披露）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披露2026年三季报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关注收入增长能否转化为利润改善，以及新型号需求对经营的实际贡献；以公司实际披露为准。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近期重要事件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2026-08-25 半年报增收不增利（利空）</w:t>
      </w:r>
      <w:r>
        <w:rPr>
          <w:sz w:val="22"/>
          <w:szCs w:val="22"/>
        </w:rPr>
        <w:t xml:space="preserve">：上半年营收13.19亿元，同比增长9.83%；归母净利润1.99亿元，同比下降26.21%，扣非净利润下降25.18%。碳纤维及能源新材料收入增长，但尚未转化为利润增长。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六、多空分歧与风险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看多理由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2025年碳梁收入增长75.84%、销量增长82.88%，批产放量为收入增长提供支撑。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T1100已实现百吨级工程化制备并开始小批量供货，T300碳纤维及织物获商飞PCD批准。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PB、PS均处近5.2年0%分位，机构预测2026—2028年净利分别增长约20.7%、18.3%、14.2%。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看空理由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2026年上半年归母净利同比下降26.21%、扣非下降25.18%，收入增长尚未转化为利润。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综合毛利率由2024年约45.55%降至2025年39.80%，2026年上半年进一步为39.53%。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2026年净利预测区间为5.95亿—7.57亿元，机构间分歧较大，增长兑现仍不确定。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其他风险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前五大客户占收入78.19%、第一大占37.07%→主要客户订单或议价变化可能显著影响收入与利润。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上半年经营现金流约为归母净利润的-57%、应收账款周转约177天→回款继续放缓可能增加减值并压低现金流质量。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七、跟踪清单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00"/>
        <w:gridCol w:w="2800"/>
        <w:gridCol w:w="28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跟踪指标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验证看多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验证看空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三季报利润转化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预约2026年10月27日披露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收入增长同时归母及扣非利润同比降幅收窄或转正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收入仍增长但归母、扣非利润同比继续下降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综合毛利率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2026年上半年39.53%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后续报告期回升至40%以上并延续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继续低于39.53%或同比降幅扩大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碳梁放量与盈利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2025年收入增长75.84%，毛利率28.79%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收入保持增长且毛利率较28.79%改善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放量明显放缓或毛利率继续下滑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回款与经营现金流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上半年经营现金流/归母净利约-57%，应收周转约177天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经营现金流转正且应收周转天数下降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现金流持续为负或周转天数进一步上升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八、股价与短线展望（未来一周，情景推演，仅供参考）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 风险提示：以下为基于2026-09-30收盘数据的主观情景推演，不构成投资建议；情景权重为结合技术与资金数据的主观启发式判断，非统计概率。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8.1 技术面概况</w:t>
      </w:r>
    </w:p>
    <w:p>
      <w:pPr>
        <w:spacing w:after="160" w:line="300"/>
      </w:pPr>
      <w:r>
        <w:rPr>
          <w:sz w:val="22"/>
          <w:szCs w:val="22"/>
        </w:rPr>
        <w:t xml:space="preserve">股价贴布林下轨、处所有均线下方，MACD零轴下柱体小幅收窄、RSI6约34.5，短线超卖但趋势未改；上方23.25~23.70元压力明显，下方22.35元为52周低点，缩量下方向选择依赖节后量能与外部信息。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45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4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解读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均线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22.92 / MA10 23.26 / MA20 23.63 / MA60 24.84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股价处各均线之下，空头排列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MACD(12,26,9)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 -0.51 / DEA -0.471 / 柱 -0.078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零轴下方，柱体小幅收窄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 34.5 / RSI14 36.3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接近超卖但未极端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布林带(20,2)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上轨 24.74 / 中轨 23.63 / 下轨 22.52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股价贴近下轨运行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成交量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近20日均量的0.71倍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缩量，承接力度偏弱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8.2 关键价位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5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23.25~23.70元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对应MA10/MA20附近；有效站上并守住，才可观察布林上轨24.74元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22.50~22.80元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参考布林下轨22.52元及9月30日收盘；失守需看近期低点承接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22.30~22.50元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对应9月28日及52周低点22.35元；确认跌破将创52周新低，历史支撑参考减少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8.3 按历史波动率测算的一周区间</w:t>
      </w:r>
    </w:p>
    <w:p>
      <w:pPr>
        <w:spacing w:after="160" w:line="300"/>
      </w:pPr>
      <w:r>
        <w:rPr>
          <w:sz w:val="22"/>
          <w:szCs w:val="22"/>
        </w:rPr>
        <w:t xml:space="preserve">以2026-09-30价格22.83元为基准，用近300个交易日的收益分布（按当前指数加权日波动率约1.5%缩放，保留这只股票自身的大涨大跌频率）推算未来5个交易日的收盘价范围：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40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覆盖概率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价格区间</w:t>
            </w:r>
          </w:p>
        </w:tc>
        <w:tc>
          <w:tcPr>
            <w:tcW w:type="dxa" w:w="4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相对基准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约68%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22.11～23.4元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-3.2%～+2.5%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约95%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21.13～24.34元</w:t>
            </w:r>
          </w:p>
        </w:tc>
        <w:tc>
          <w:tcPr>
            <w:tcW w:type="dxa" w:w="4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-7.4%～+6.6%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该区间只反映这只股票近期的波动幅度，不含涨跌方向判断；遇到重大公告或大盘急跌，实际走势仍可能超出区间。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8.4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震荡整理（相对权重较高，约五成）</w:t>
      </w:r>
      <w:r>
        <w:rPr>
          <w:sz w:val="22"/>
          <w:szCs w:val="22"/>
        </w:rPr>
        <w:t xml:space="preserve">：22.30~22.50元支撑经受回踩、未持续收于22.35元下方，反弹受制于23.25~23.70元压力区，区间运行于22.35~23.65元。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偏弱下行（权重中等，约三成）</w:t>
      </w:r>
      <w:r>
        <w:rPr>
          <w:sz w:val="22"/>
          <w:szCs w:val="22"/>
        </w:rPr>
        <w:t xml:space="preserve">：放量跌破22.35元且不能快速收复，下行至21.80~22.35元（该区间为破位后情景观察区间，非已确认支撑）；成交放大而股价走弱则风险增加。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反弹走强（权重偏低，约两成）</w:t>
      </w:r>
      <w:r>
        <w:rPr>
          <w:sz w:val="22"/>
          <w:szCs w:val="22"/>
        </w:rPr>
        <w:t xml:space="preserve">：有效站上23.25~23.70元压力区并伴随成交额明显放大、守住突破位，进一步看布林上轨24.74元附近压力，区间23.65~24.75元。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8.5 资金与流动性</w:t>
      </w:r>
    </w:p>
    <w:p>
      <w:pPr>
        <w:spacing w:after="160" w:line="300"/>
      </w:pPr>
      <w:r>
        <w:rPr>
          <w:sz w:val="22"/>
          <w:szCs w:val="22"/>
        </w:rPr>
        <w:t xml:space="preserve">最近五个交易日（9月23、24、28、29、30日）换手率约0.51%~1.03%、日成交额约0.95亿~1.92亿元，9月30日成交额1.17亿元、换手率0.63%，当日成交量仅为近20日均量的0.71倍。主力资金分类数据仅延续至9月2日且正负交错，无法确认9月全月方向。前十大股东合计约40.09%、控股股东占36.04%（持仓截止2026年6月30日，有至少一个季度时滞，之后可能已变化），其中可见ETF、养老金及保险资金，未见明确列名QFII。整体交易活跃度有限、集中度较高，大额买卖的冲击成本与滑点风险需留意，本次未取得订单簿深度数据。</w:t>
      </w:r>
    </w:p>
    <w:p>
      <w:pPr>
        <w:spacing w:after="160" w:line="300"/>
      </w:pPr>
      <w:r>
        <w:rPr>
          <w:sz w:val="22"/>
          <w:szCs w:val="22"/>
        </w:rPr>
        <w:t xml:space="preserve">若复市后单日成交额达到或超过约2亿元并伴随股价站稳23.25~23.70元压力区，可作为量价共同转强的观察信号。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年9月30日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公司公告_光威复材：2025年年度报告新浪财经_新浪网 — https://vip.stock.finance.sina.com.cn/corp/view/vCB_AllBulletinDetail.php?id=12039094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公司公告_光威复材：2021年年度报告新浪财经_新浪网 — https://vip.stock.finance.sina.com.cn/corp/view/vCB_AllBulletinDetail.php?id=7975829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公司公告_光威复材：2022年年度报告新浪财经_新浪网 — https://vip.stock.finance.sina.com.cn/corp/view/vCB_AllBulletinDetail.php?id=8916906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光威复材(300699)_公司公告_光威复材：2023年年度报告摘要新浪财经_新浪网 — https://money.finance.sina.com.cn/corp/view/vCB_AllBulletinDetail.php?id=9945629&amp;stockid=300699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公司公告_光威复材：2024年年度报告新浪财经_新浪网 — https://vip.stock.finance.sina.com.cn/corp/view/vCB_AllBulletinDetail.php?id=10834445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中简科技(300777)_公司公告_中简科技：2025年年度报告新浪财经_新浪网 — https://money.finance.sina.com.cn/corp/view/vCB_AllBulletinDetail.php?id=12088410&amp;stockid=300777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中复神鹰(688295)_公司公告_中复神鹰：2025年年度报告新浪财经_新浪网 — https://money.finance.sina.com.cn/corp/view/vCB_AllBulletinDetail.php?id=12018874&amp;stockid=688295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吉林碳谷(920077)_公司公告_吉林碳谷：2025年年度报告新浪财经_新浪网 — https://money.finance.sina.com.cn/corp/view/vCB_AllBulletinDetail.php?id=12085409&amp;stockid=920077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光威复材(300699)_公司公告_光威复材：2026年半年度报告新浪财经_新浪网 — https://vip.stock.finance.sina.com.cn/corp/view/vCB_AllBulletinDetail.php?id=12525127&amp;stockid=300699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光威复材(300699) - 重大事项备忘 - 股票行情中心 - 搜狐证券 — https://q.stock.sohu.com/cn/300699/bw.shtml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吉林碳谷(920077)市盈率|估值|基本面 - 理杏仁 — https://www.lixinger.com/equity/company/detail/bj/920077/920077/fundamental/valuation/pe-ttm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光威复材(300699) 盈利预测_F10_同花顺金融服务网 — https://basic.10jqka.com.cn/300699/worth.html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光威复材 (300699)股票预测和分析师评级 - 富途牛牛 — https://www.futunn.com/stock/300699-SZ/forecast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光威复材(300699)_公司公告_光威复材：2026年8月25日投资者关系活动记录表新浪财经_新浪网 — https://money.finance.sina.com.cn/corp/view/vCB_AllBulletinDetail.php?id=12558394&amp;stockid=300699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光威复材(300699)_公司公告_光威复材：关于为全资子公司提供担保的进展公告新浪财经_新浪网 — https://money.finance.sina.com.cn/corp/view/vCB_AllBulletinDetail.php?id=12524740&amp;stockid=300699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光威复材（300699）：中标中国石化上海石油化工股份有限公司采购项目，中标金额为326.00万元_新浪财经_新浪网 — https://finance.sina.com.cn/stock/relnews/cn/2026-07-27/doc-inikfhfk9938351.shtml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证券代码：300699  证券简称：光威复材  公告编号：2026-021 — https://static.cninfo.com.cn/finalpage/2026-06-11/1225362218.PDF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光威复材(300699)_公司公告_光威复材：2026年半年度报告摘要新浪财经_新浪网 — https://money.finance.sina.com.cn/corp/view/vCB_AllBulletinDetail.php?id=12525132&amp;stockid=300699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光威复材(300699)个股分析_牛叉诊股_同花顺财经 — https://doctor.10jqka.com.cn/300699/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光威复材(300699)股票行情 光威复材股票行情 300699股票行情_爱股网 — https://igu888.com/hangqing/300699.html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关于2026年中秋节、国庆节休市安排的通知 — https://www.szse.cn/www/disclosure/notice/general/t20260917_622911.html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光威复材(300699)公告(全部) - 理杏仁 — https://www.lixinger.com/equity/company/detail/sz/300699/300699/announcement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行情及估值数据截至2026-09-30收盘，可能存在时效性差异，具体数据请以公司正式公告及权威数据终端为准。本报告仅为信息整理与研究参考，不构成任何投资建议，投资者应独立判断并自行承担投资风险。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2026-10-01T12:05:20.930Z</dcterms:created>
  <dcterms:modified xsi:type="dcterms:W3CDTF">2026-10-01T12:05:20.930Z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