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广州广哈通信股份有限公司 (300711)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行业：通信设备制造、指挥调度通信产品制造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截至2026年9月11日收盘；部分行情页面存在延时，实际交易数据以交易所数据为准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广哈通信2026年上半年营业收入同比增长29.58%至2.5165亿元，但归属于上市公司股东的净利润同比下降52.11%至1170.33万元；扣非归母净利润为986.88万元，同比增长69.05%，经营活动现金流量净额为-6525.22万元。公司当前呈现收入扩张、扣非主营盈利改善与归母利润承压并存的局面，全年业绩能否兑现仍依赖下半年收入确认、项目验收和利润释放。</w:t>
      </w:r>
    </w:p>
    <w:p>
      <w:pPr>
        <w:spacing w:after="160" w:line="300"/>
      </w:pPr>
      <w:r>
        <w:rPr>
          <w:sz w:val="22"/>
          <w:szCs w:val="22"/>
        </w:rPr>
        <w:t xml:space="preserve">公司2025年实现营业收入7.43亿元、归母净利润9581.36万元，收入同比增长36.68%，主要业务仍集中于可靠通信网络、电力调度和国防指挥调度。2025年电力收入约占65.5%、国防收入约占31.0%，境内收入占比99.99%，直销收入占比92.96%；公司依托军工资质、电力专用通信设备资质、铁路CRCC认证以及行业项目经验，在关键行业形成一定进入壁垒，但业务区域和客户行业集中度较高。</w:t>
      </w:r>
    </w:p>
    <w:p>
      <w:pPr>
        <w:spacing w:after="160" w:line="300"/>
      </w:pPr>
      <w:r>
        <w:rPr>
          <w:sz w:val="22"/>
          <w:szCs w:val="22"/>
        </w:rPr>
        <w:t xml:space="preserve">公司通过赛康智能等并购及募投项目，向输变电设备智能检测、数智指挥系统和新一代智能调度系统延伸。2026年上半年定增募集资金项目持续推进，截至6月末募集资金余额约7.07亿元，其中约4.5亿元以结构性存款、约6600万元以定期存款方式存放；同时，公司拟使用募集资金向全资子公司广有通信增资5000万元，但该子公司2026年上半年净利润为-692.16万元，相关项目投入和新业务整合效果仍需观察。</w:t>
      </w:r>
    </w:p>
    <w:p>
      <w:pPr>
        <w:spacing w:after="160" w:line="300"/>
      </w:pPr>
      <w:r>
        <w:rPr>
          <w:sz w:val="22"/>
          <w:szCs w:val="22"/>
        </w:rPr>
        <w:t xml:space="preserve">截至2026年9月11日，公司股价为21.13元，较7月低点13.29元明显反弹，短期均线呈多头排列，MACD处于正值区域，但股价已接近21.20—21.50元压力区并位于自行测算布林上轨附近。同期市盈率约71.32倍、扣非市盈率约76.11倍，估值已经反映了市场对新业务扩张及未来利润增长的较高预期；近期成交额和换手率显著放大，短线市场关注度与波动性同步提升。</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300711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广哈通信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2017年11月1日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广州市人民政府国有资产监督管理委员会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控股股东及持股比例</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广州数字科技集团有限公司；截至2025年6月30日持股比例为66.33%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公司性质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国有控股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智能指挥调度综合解决方案提供商，核心客户集中于电力、国防、铁路、应急、能源等对通信可靠性、安全性和实时性要求较高的行业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7.43亿元，同比增长36.68%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2025年境内外收入结构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境内收入占比99.99%，境外收入占比0.01%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2025年销售模式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直销收入6.91亿元，占92.96%；经销收入0.52亿元，占7.04%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产能及产销情况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2025年指挥调度系统类整机产能2,800套、产量2,776套、销量2,630套、期末库存553套；产能利用率按产量计算约99.1%，产销率约94.7%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资源与资质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十余年指挥调度通信技术积累；拥有军工资质、电力专用通信设备资质及铁路CRCC认证等行业资质或认证。公司官网披露拥有580余项自主知识产权，其中发明专利近百项、计算机软件著作权360余项；相关官网数据未在本次研究中逐项与年报附件交叉核验</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可靠通信网络：包括程控交换、软交换、IMS、5G核心网、网关、调度终端、音视频通信应用等；2025年收入4.85亿元，占65.25%。</w:t>
      </w:r>
    </w:p>
    <w:p>
      <w:pPr>
        <w:pStyle w:val="ListParagraph"/>
        <w:numPr>
          <w:ilvl w:val="0"/>
          <w:numId w:val="2"/>
        </w:numPr>
        <w:spacing w:after="80" w:line="280"/>
      </w:pPr>
      <w:r>
        <w:rPr>
          <w:sz w:val="22"/>
          <w:szCs w:val="22"/>
        </w:rPr>
        <w:t xml:space="preserve">泛指挥调度系统：依托ICT、大数据、人工智能等技术，面向电力、国防、铁路、应急等行业提供定制化指挥调度系统；2025年收入1.38亿元，占18.54%。</w:t>
      </w:r>
    </w:p>
    <w:p>
      <w:pPr>
        <w:pStyle w:val="ListParagraph"/>
        <w:numPr>
          <w:ilvl w:val="0"/>
          <w:numId w:val="2"/>
        </w:numPr>
        <w:spacing w:after="80" w:line="280"/>
      </w:pPr>
      <w:r>
        <w:rPr>
          <w:sz w:val="22"/>
          <w:szCs w:val="22"/>
        </w:rPr>
        <w:t xml:space="preserve">数智化服务：包括规划设计、软件实施、运营维护、智能监测、状态评估、图像识别及电力设备检测等；2025年收入1.20亿元，占16.21%。</w:t>
      </w:r>
    </w:p>
    <w:p>
      <w:pPr>
        <w:pStyle w:val="ListParagraph"/>
        <w:numPr>
          <w:ilvl w:val="0"/>
          <w:numId w:val="2"/>
        </w:numPr>
        <w:spacing w:after="80" w:line="280"/>
      </w:pPr>
      <w:r>
        <w:rPr>
          <w:sz w:val="22"/>
          <w:szCs w:val="22"/>
        </w:rPr>
        <w:t xml:space="preserve">按业务性质划分，2025年设备制造收入5.23亿元，占70.40%；技术服务收入2.20亿元，占29.60%。</w:t>
      </w:r>
    </w:p>
    <w:p>
      <w:pPr>
        <w:pStyle w:val="ListParagraph"/>
        <w:numPr>
          <w:ilvl w:val="0"/>
          <w:numId w:val="2"/>
        </w:numPr>
        <w:spacing w:after="80" w:line="280"/>
      </w:pPr>
      <w:r>
        <w:rPr>
          <w:sz w:val="22"/>
          <w:szCs w:val="22"/>
        </w:rPr>
        <w:t xml:space="preserve">按下游行业划分，2025年电力收入4.87亿元，占约65.5%，毛利率55.64%；国防收入2.31亿元，占约31.0%，毛利率54.22%；其他行业收入0.26亿元，占约3.5%，毛利率42.96%。</w:t>
      </w:r>
    </w:p>
    <w:p>
      <w:pPr>
        <w:pStyle w:val="ListParagraph"/>
        <w:numPr>
          <w:ilvl w:val="0"/>
          <w:numId w:val="2"/>
        </w:numPr>
        <w:spacing w:after="80" w:line="280"/>
      </w:pPr>
      <w:r>
        <w:rPr>
          <w:sz w:val="22"/>
          <w:szCs w:val="22"/>
        </w:rPr>
        <w:t xml:space="preserve">公司通过收购北京易用视点进入抽水蓄能电站数字化、工程项目管理和智能建造领域；通过收购四川赛康智能51%股权进入输变电设备X射线智能检测、电力设备状态评价、红外测温及电缆防爆盒等业务。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广哈通信位于指挥调度通信产业链中游偏高附加值环节，属于“通信设备及软件平台集成商+行业解决方案服务商”。公司不是上游芯片或基础通信元器件企业，也不是依靠终端品牌溢价的消费电子企业，价值主要来自通信设备、系统集成、行业定制化解决方案和数智化技术服务。</w:t>
      </w:r>
    </w:p>
    <w:p>
      <w:pPr>
        <w:pStyle w:val="ListParagraph"/>
        <w:numPr>
          <w:ilvl w:val="0"/>
          <w:numId w:val="2"/>
        </w:numPr>
        <w:spacing w:after="80" w:line="280"/>
      </w:pPr>
      <w:r>
        <w:rPr>
          <w:sz w:val="22"/>
          <w:szCs w:val="22"/>
        </w:rPr>
        <w:t xml:space="preserve">主要采购集成芯片、电容、电阻、晶振、LCD屏、印刷电路板，以及收发器、交换机、天线、合路器、分路器等通信设备和部件；同时采购外购通信设备、软件设计服务，并将钣金、PCB加工等非核心环节委外。</w:t>
      </w:r>
    </w:p>
    <w:p>
      <w:pPr>
        <w:pStyle w:val="ListParagraph"/>
        <w:numPr>
          <w:ilvl w:val="0"/>
          <w:numId w:val="2"/>
        </w:numPr>
        <w:spacing w:after="80" w:line="280"/>
      </w:pPr>
      <w:r>
        <w:rPr>
          <w:sz w:val="22"/>
          <w:szCs w:val="22"/>
        </w:rPr>
        <w:t xml:space="preserve">2025年可靠通信网络业务成本中，材料成本为1.91亿元，占该业务营业成本的56.93%；直接人工占3.41%，制造费用占3.08%。材料成本占比较高，显示业务成本主要受电子元器件、外购设备及相关材料影响。</w:t>
      </w:r>
    </w:p>
    <w:p>
      <w:pPr>
        <w:pStyle w:val="ListParagraph"/>
        <w:numPr>
          <w:ilvl w:val="0"/>
          <w:numId w:val="2"/>
        </w:numPr>
        <w:spacing w:after="80" w:line="280"/>
      </w:pPr>
      <w:r>
        <w:rPr>
          <w:sz w:val="22"/>
          <w:szCs w:val="22"/>
        </w:rPr>
        <w:t xml:space="preserve">公司通常根据未来三个月销售订单和市场预测滚动制定采购计划；自主保留产品定型、工装设计、产品总成、软件灌装与检测等核心环节，PCB加工、钣金加工等非核心工艺主要委外。</w:t>
      </w:r>
    </w:p>
    <w:p>
      <w:pPr>
        <w:pStyle w:val="ListParagraph"/>
        <w:numPr>
          <w:ilvl w:val="0"/>
          <w:numId w:val="2"/>
        </w:numPr>
        <w:spacing w:after="80" w:line="280"/>
      </w:pPr>
      <w:r>
        <w:rPr>
          <w:sz w:val="22"/>
          <w:szCs w:val="22"/>
        </w:rPr>
        <w:t xml:space="preserve">研究纪要未披露上游供应商集中度。公司对通用电子元器件价格总体缺乏强定价权，更多依靠产品设计、系统集成、行业认证和定制化能力实现增值。</w:t>
      </w:r>
    </w:p>
    <w:p>
      <w:pPr>
        <w:pStyle w:val="ListParagraph"/>
        <w:numPr>
          <w:ilvl w:val="0"/>
          <w:numId w:val="2"/>
        </w:numPr>
        <w:spacing w:after="80" w:line="280"/>
      </w:pPr>
      <w:r>
        <w:rPr>
          <w:sz w:val="22"/>
          <w:szCs w:val="22"/>
        </w:rPr>
        <w:t xml:space="preserve">主要客户包括国家电网、南方电网及其下属单位、央企发电集团和地方能源集团、军队及国防相关客户、铁路局及城市轨道交通客户、政府应急管理部门，以及石油、石化、煤炭、核电等能源客户。</w:t>
      </w:r>
    </w:p>
    <w:p>
      <w:pPr>
        <w:pStyle w:val="ListParagraph"/>
        <w:numPr>
          <w:ilvl w:val="0"/>
          <w:numId w:val="2"/>
        </w:numPr>
        <w:spacing w:after="80" w:line="280"/>
      </w:pPr>
      <w:r>
        <w:rPr>
          <w:sz w:val="22"/>
          <w:szCs w:val="22"/>
        </w:rPr>
        <w:t xml:space="preserve">2025年收入主要来自电力和国防行业，电力收入占约65.5%，国防收入占约31.0%；境内收入占比99.99%，境外收入占比0.01%。</w:t>
      </w:r>
    </w:p>
    <w:p>
      <w:pPr>
        <w:pStyle w:val="ListParagraph"/>
        <w:numPr>
          <w:ilvl w:val="0"/>
          <w:numId w:val="2"/>
        </w:numPr>
        <w:spacing w:after="80" w:line="280"/>
      </w:pPr>
      <w:r>
        <w:rPr>
          <w:sz w:val="22"/>
          <w:szCs w:val="22"/>
        </w:rPr>
        <w:t xml:space="preserve">公司未在本次查阅的2025年年报主要章节中披露前五大客户销售额占比，因此无法可靠计算最新客户集中度。该数据应以2025年年报“前五名客户”附注或公司后续公告为准；本次未采用单一第三方数据库数据替代。</w:t>
      </w:r>
    </w:p>
    <w:p>
      <w:pPr>
        <w:pStyle w:val="ListParagraph"/>
        <w:numPr>
          <w:ilvl w:val="0"/>
          <w:numId w:val="2"/>
        </w:numPr>
        <w:spacing w:after="80" w:line="280"/>
      </w:pPr>
      <w:r>
        <w:rPr>
          <w:sz w:val="22"/>
          <w:szCs w:val="22"/>
        </w:rPr>
        <w:t xml:space="preserve">电力客户通常具有较强采购规模和技术标准制定能力，供应商需依靠入网资质、历史运行记录、项目经验和持续服务能力维持订单；国防市场具有军工资质和供应商准入壁垒，但订单节奏、验收流程和政策变化可能造成收入波动；铁路市场需要CRCC认证。</w:t>
      </w:r>
    </w:p>
    <w:p>
      <w:pPr>
        <w:pStyle w:val="ListParagraph"/>
        <w:numPr>
          <w:ilvl w:val="0"/>
          <w:numId w:val="2"/>
        </w:numPr>
        <w:spacing w:after="80" w:line="280"/>
      </w:pPr>
      <w:r>
        <w:rPr>
          <w:sz w:val="22"/>
          <w:szCs w:val="22"/>
        </w:rPr>
        <w:t xml:space="preserve">下游采购具有项目制、定制化、招投标、验收及长期运维等特征。公司主要面向最终客户或最终项目，2025年直销收入占92.96%，经销收入占7.04%。</w:t>
      </w:r>
    </w:p>
    <w:p>
      <w:pPr>
        <w:pStyle w:val="ListParagraph"/>
        <w:numPr>
          <w:ilvl w:val="0"/>
          <w:numId w:val="2"/>
        </w:numPr>
        <w:spacing w:after="80" w:line="280"/>
      </w:pPr>
      <w:r>
        <w:rPr>
          <w:sz w:val="22"/>
          <w:szCs w:val="22"/>
        </w:rPr>
        <w:t xml:space="preserve">公司业务通常经历方案设计、生产、安装、调试、验收和回款等流程，存在应收账款和合同资产占用的可能。2025年年报披露公司对客户信用期、应收账款和合同资产进行信用风险管理，并按客户信用状况设置和调整信用政策；但本次提取的年报文本未给出可用于计算的完整应收账款周转天数、应收账款相对营业收入或净利润比例，以及前五大客户应收账款占比，因此无法据此对营运资金议价能力作出强判断。直销收入占比92.96%是已披露的相关信号：公司能够直接掌握客户需求和项目定制，但也需承担更多项目交付、验收和回款管理责任。</w:t>
      </w:r>
    </w:p>
    <w:p>
      <w:pPr>
        <w:pStyle w:val="ListParagraph"/>
        <w:numPr>
          <w:ilvl w:val="0"/>
          <w:numId w:val="2"/>
        </w:numPr>
        <w:spacing w:after="80" w:line="280"/>
      </w:pPr>
      <w:r>
        <w:rPr>
          <w:sz w:val="22"/>
          <w:szCs w:val="22"/>
        </w:rPr>
        <w:t xml:space="preserve">客户集中度：2025年年报主要章节未披露前五大客户销售额合计占比，数据缺失，无法可靠计算最新集中度；公司官网披露的“服务抽水蓄能电站超过60家”“服务国网、南网旗下各地市局超过400家”等客户数量属于公司自披露口径，未在本次研究中逐项交叉核验，具体客户集中度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约53.28%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毛利率处于中等水平，业务仍以传统指挥调度通信设备为主，材料成本和产品结构共同影响盈利；该年度数据主要参考第三方财务数据库，未在本次研究中直接提取年报原表。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约57.83%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国防行业多媒体指挥调度系统高毛利率产品占比提升，带动相关业务毛利率改善。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约49.75%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约13.58%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部分子公司从单机产品向整体解决方案转型，整体解决方案收入占比提升，项目实施和系统集成环节增加，导致部分业务毛利率承压。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约52.25%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约14.05%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可靠通信网络收入增长25.76%，该产品毛利率约59.70%，带动综合毛利率回升；数字化服务收入快速增长但毛利率约30.71%，对综合利润率形成拖累。</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约54.76%—54.77%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约16.69%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可靠通信网络和泛指挥调度系统规模扩大，数智化服务中技术服务、智能检测类业务占比提升；数智化服务毛利率为59.05%，但改善部分来自赛康智能并表及产品结构变化，不能简单视为原有通信设备业务盈利能力全面提升。</w:t>
            </w:r>
          </w:p>
        </w:tc>
      </w:tr>
    </w:tbl>
    <w:p>
      <w:pPr>
        <w:spacing w:before="200"/>
      </w:pPr>
    </w:p>
    <w:p>
      <w:pPr>
        <w:spacing w:after="160" w:line="300"/>
      </w:pPr>
      <w:r>
        <w:rPr>
          <w:sz w:val="22"/>
          <w:szCs w:val="22"/>
        </w:rPr>
        <w:t xml:space="preserve">公司处于指挥调度通信产业链中游偏高附加值环节，整体不是上游资源型高毛利企业，也不是拥有消费终端品牌溢价的下游企业。公司对通用电子元器件采购价格缺乏绝对控制力，但可通过行业资质、系统可靠性、软硬件一体化、定制化能力和长期客户关系获得高于一般通信设备组装业务的毛利率；未来利润率改善主要取决于高毛利软件及技术服务占比提升、数智运检业务整合，以及AI、云原生IMS和行业智能调度产品的规模化落地，同时也受成本控制、项目交付和验收回款管理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2.5165亿元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同比增长29.58%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归属于上市公司股东的净利润1170.33万元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同比下降52.11%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7.4301亿元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同比增长36.68%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归属于上市公司股东的净利润9581.36万元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同比增长约29.70%</w:t>
            </w:r>
          </w:p>
        </w:tc>
      </w:tr>
    </w:tbl>
    <w:p>
      <w:pPr>
        <w:spacing w:after="200"/>
      </w:pPr>
      <w:r>
        <w:rPr>
          <w:i/>
          <w:iCs/>
          <w:color w:val="595959"/>
          <w:sz w:val="18"/>
          <w:szCs w:val="18"/>
        </w:rPr>
        <w:t xml:space="preserve">2026年半年度报告于2026年8月21日披露；2025年年度报告于2026年3月27日披露。2026年上半年扣除非经常性损益后归属于上市公司股东的净利润为986.88万元，同比增长69.05%；2025年全年扣非归母净利润约8304万元。2026年上半年基本每股收益为0.0442元，同比下降54.94%；2025年全年基本每股收益约0.38元。</w:t>
      </w:r>
    </w:p>
    <w:p>
      <w:pPr>
        <w:spacing w:after="160" w:line="300"/>
      </w:pPr>
      <w:r>
        <w:rPr>
          <w:sz w:val="22"/>
          <w:szCs w:val="22"/>
        </w:rPr>
        <w:t xml:space="preserve">2026年上半年呈现营收增长、归母净利润下降的背离，但扣非归母净利润同比增长69.05%，显示主营盈利表现可能有所改善。归母净利润受到上年同期非经常性收益基数较高、研发及经营投入增加、少数股东损益及定向增发后股本扩大等因素影响。2025年公司收入和利润均创历史新高，主要受赛康智能并表、泛指挥调度及数智化服务业务扩张推动。2026年上半年经营活动产生的现金流量净额为-6525.22万元，仍为净流出；加权平均净资产收益率为1.00%。截至2026年6月末，归属于上市公司股东的净资产为15.01亿元，较2025年末增长87.46%；总资产为20.58亿元，较2025年末增长36.52%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覆盖较少，不代表市场一致预期。西南证券研报日期为2025年8月19日，预计2026年、2027年营业收入同比增长约27.43%、31.63%；华金证券研报日期为2024年4月5日。上述预测均早于2026年半年度报告，可能需要重新评估。华金证券预测日期较早，且2024年、2025年实际数据与预测口径存在差异，参考价值低于西南证券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2025年（西南证券）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6.8993亿元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9194万元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2026年（西南证券）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8.7917亿元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1.1743亿元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归母净利润同比增长约27.73%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2027年（西南证券）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11.5725亿元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1.5739亿元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归母净利润同比增长约34.03%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2024年（华金证券）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8500万元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2025年（华金证券）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2026年（华金证券）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2025年8月19日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预计2025—2027年EPS分别为0.37元、0.47元和0.63元；未给出明确目标价，目标价栏标注为“——元”。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增持-B</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2024年4月5日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公开研报摘要及盈利预测页面未检索到明确、仍具时效性的目标价。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公开机构评级情况</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暂无新增评级或当前机构评级暂缺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截至2026年9月初至2026年9月10日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同花顺信息显示最近60个交易日暂无机构发布新的评级，未发现截至2026年9月10日仍有效且明确的主流券商目标价。</w:t>
            </w:r>
          </w:p>
        </w:tc>
      </w:tr>
    </w:tbl>
    <w:p>
      <w:pPr>
        <w:spacing w:before="200"/>
      </w:pPr>
    </w:p>
    <w:p>
      <w:pPr>
        <w:spacing w:after="160" w:line="300"/>
      </w:pPr>
      <w:r>
        <w:rPr>
          <w:sz w:val="22"/>
          <w:szCs w:val="22"/>
        </w:rPr>
        <w:t xml:space="preserve">截至2026年9月9日前后，股价约19.2—19.3元，总市值约53.8—54.1亿元；英为财情显示最新交易价格约19.23元、市值约54.8亿元，公司总股本约2.80亿股。中财网截至2026年9月9日盘中数据显示市盈率约64.88倍、扣非市盈率约69.23倍、市净率约3.33倍；理杏仁数据显示市净率约3.60倍，综合可表述为TTM PE约65倍、扣非PE约69倍、PB约3.3—3.6倍。以股价19.33元测算，西南证券2026年EPS 0.47元对应动态PE约41.1倍，2027年EPS 0.63元对应动态PE约30.7倍；华金证券2026年EPS 0.56元对应动态PE约34.5倍。当前估值已包含对新业务扩张、订单落地及利润增长的较高预期。由于2026年上半年归母净利润仅1170.33万元，同比下降52.11%，此前机构对2026年全年归母净利润1.1743亿—1.39亿元的预测能否实现，依赖下半年较强的业绩释放。估值兑现仍取决于收入确认、项目验收、新业务毛利率改善及归母净利润增长。不同平台的股价、PB及估值数据存在更新时间和计算口径差异，建议采用同一平台、同一日期和同一口径进行比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2026年第一次临时股东会两项议案获高比例通过</w:t>
      </w:r>
    </w:p>
    <w:p>
      <w:pPr>
        <w:spacing w:after="160" w:line="300"/>
      </w:pPr>
      <w:r>
        <w:rPr>
          <w:sz w:val="22"/>
          <w:szCs w:val="22"/>
        </w:rPr>
        <w:t xml:space="preserve">公司于2026年9月8日召开2026年第一次临时股东会，审议通过修订《公司章程》及续聘会计师事务所两项议案。修订《公司章程》获同意票180,094,684股，占有效表决权99.9090%；续聘会计师事务所获同意票180,124,884股，占有效表决权99.9258%。参加现场及网络投票的股东及股东代理人共178人，代表股份180,258,684股，占公司有表决权股份总数64.2786%。会议未出现否决议案，未涉及控股股东或实际控制人变更。来源：公司2026年第一次临时股东会决议公告。</w:t>
      </w:r>
    </w:p>
    <w:p>
      <w:pPr>
        <w:pStyle w:val="Heading2"/>
        <w:spacing w:after="120" w:before="240"/>
      </w:pPr>
      <w:r>
        <w:rPr>
          <w:b/>
          <w:bCs/>
          <w:color w:val="2E74B5"/>
          <w:sz w:val="24"/>
          <w:szCs w:val="24"/>
        </w:rPr>
        <w:t xml:space="preserve">4.2 中信证券披露2026年半年度跟踪报告</w:t>
      </w:r>
    </w:p>
    <w:p>
      <w:pPr>
        <w:spacing w:after="160" w:line="300"/>
      </w:pPr>
      <w:r>
        <w:rPr>
          <w:sz w:val="22"/>
          <w:szCs w:val="22"/>
        </w:rPr>
        <w:t xml:space="preserve">中信证券于2026年9月8日披露广哈通信2026年半年度跟踪报告。报告称，公司信息披露及时，未发现重大信息披露问题；2026年上半年现场检查1次，未发现需要整改的主要问题；募集资金项目进展与信息披露文件一致；未发现控股股东及实际控制人发生变动，也未发现募集资金存放及使用、关联交易、对外担保、购买或出售资产、对外投资等方面存在重大问题。保荐机构未向深交所报告需要特别关注的事项。</w:t>
      </w:r>
    </w:p>
    <w:p>
      <w:pPr>
        <w:pStyle w:val="Heading2"/>
        <w:spacing w:after="120" w:before="240"/>
      </w:pPr>
      <w:r>
        <w:rPr>
          <w:b/>
          <w:bCs/>
          <w:color w:val="2E74B5"/>
          <w:sz w:val="24"/>
          <w:szCs w:val="24"/>
        </w:rPr>
        <w:t xml:space="preserve">4.3 公司拟使用募集资金向全资子公司增资5000万元</w:t>
      </w:r>
    </w:p>
    <w:p>
      <w:pPr>
        <w:spacing w:after="160" w:line="300"/>
      </w:pPr>
      <w:r>
        <w:rPr>
          <w:sz w:val="22"/>
          <w:szCs w:val="22"/>
        </w:rPr>
        <w:t xml:space="preserve">公司于2026年8月21日披露，拟使用募集资金5000万元向全资子公司广州广有通信设备有限公司增资，用于实施募投项目。广有通信仍为公司全资子公司，本次交易不构成关联交易或重大资产重组，无需提交股东会审议。公司向特定对象发行股票31,263,026股，发行价格23.99元/股，募集资金总额7.50亿元，扣除发行费用后募集资金净额7.4455亿元，新增股份于2026年3月30日上市。广有通信2026年上半年营业收入约4182.51万元，净利润为-692.16万元；2025年全年营业收入约2.3199亿元，净利润约2522.79万元。</w:t>
      </w:r>
    </w:p>
    <w:p>
      <w:pPr>
        <w:pStyle w:val="Heading2"/>
        <w:spacing w:after="120" w:before="240"/>
      </w:pPr>
      <w:r>
        <w:rPr>
          <w:b/>
          <w:bCs/>
          <w:color w:val="2E74B5"/>
          <w:sz w:val="24"/>
          <w:szCs w:val="24"/>
        </w:rPr>
        <w:t xml:space="preserve">4.4 募投项目及募集资金使用情况</w:t>
      </w:r>
    </w:p>
    <w:p>
      <w:pPr>
        <w:spacing w:after="160" w:line="300"/>
      </w:pPr>
      <w:r>
        <w:rPr>
          <w:sz w:val="22"/>
          <w:szCs w:val="22"/>
        </w:rPr>
        <w:t xml:space="preserve">公司本次募投项目包括：新一代智能调度系统建设项目，募集资金投入约3.0401亿元；数智指挥系统升级建设项目，募集资金投入约2.4402亿元；调度指挥系统智能化核心技术研究项目，募集资金投入约1.9651亿元。其中，数智指挥系统升级建设项目由公司及广有通信共同实施，广有通信建设投入总额为1.6516亿元。截至2026年6月30日，募集资金净额约7.4455亿元，2026年上半年使用募集资金约3723.23万元，募集资金余额约7.0741亿元，其中约4.5亿元以结构性存款方式存放，约6600万元以定期存款方式存放。</w:t>
      </w:r>
    </w:p>
    <w:p>
      <w:pPr>
        <w:pStyle w:val="Heading2"/>
        <w:spacing w:after="120" w:before="240"/>
      </w:pPr>
      <w:r>
        <w:rPr>
          <w:b/>
          <w:bCs/>
          <w:color w:val="2E74B5"/>
          <w:sz w:val="24"/>
          <w:szCs w:val="24"/>
        </w:rPr>
        <w:t xml:space="preserve">4.5 2026年半年度报告：收入增长但归母净利润下降</w:t>
      </w:r>
    </w:p>
    <w:p>
      <w:pPr>
        <w:spacing w:after="160" w:line="300"/>
      </w:pPr>
      <w:r>
        <w:rPr>
          <w:sz w:val="22"/>
          <w:szCs w:val="22"/>
        </w:rPr>
        <w:t xml:space="preserve">公司于2026年8月21日披露2026年半年度报告。2026年上半年营业收入2.5165亿元，同比增长29.58%；归属于上市公司股东的净利润1170.33万元，同比下降52.11%；扣除非经常性损益后的净利润986.88万元，同比增长69.05%；经营活动现金流量净额为-6525.22万元；基本每股收益0.0442元。期末总资产20.5818亿元，较上年末增长36.52%；归属于上市公司股东的净资产15.0085亿元，较上年末增长87.46%。公司解释利润下降与定增后股本摊薄、业务结构及费用投入等因素有关。2026年半年度不进行现金分红、不送红股、不以资本公积金转增股本。</w:t>
      </w:r>
    </w:p>
    <w:p>
      <w:pPr>
        <w:pStyle w:val="Heading2"/>
        <w:spacing w:after="120" w:before="240"/>
      </w:pPr>
      <w:r>
        <w:rPr>
          <w:b/>
          <w:bCs/>
          <w:color w:val="2E74B5"/>
          <w:sz w:val="24"/>
          <w:szCs w:val="24"/>
        </w:rPr>
        <w:t xml:space="preserve">4.6 2025年度业绩预告及2026年前三季度业绩信息</w:t>
      </w:r>
    </w:p>
    <w:p>
      <w:pPr>
        <w:spacing w:after="160" w:line="300"/>
      </w:pPr>
      <w:r>
        <w:rPr>
          <w:sz w:val="22"/>
          <w:szCs w:val="22"/>
        </w:rPr>
        <w:t xml:space="preserve">公司最近一次业绩预告为2025年度业绩预告，于2026年1月22日发布，属于自愿性业绩预告。预计2025年度归属于上市公司股东的净利润为9000万元至9700万元，同比增长21.83%至31.31%；扣除非经常性损益后的净利润为7000万元至7700万元，同比增长1.15%至11.27%。公司称业绩增长主要来自市场拓展、营业收入增长及运营效率优化，但国防业务阶段性承压，公司对新兴业务增加投入。截至2026年9月13日，未检索到公司针对2026年前三季度发布的业绩预告或业绩快报。</w:t>
      </w:r>
    </w:p>
    <w:p>
      <w:pPr>
        <w:pStyle w:val="Heading2"/>
        <w:spacing w:after="120" w:before="240"/>
      </w:pPr>
      <w:r>
        <w:rPr>
          <w:b/>
          <w:bCs/>
          <w:color w:val="2E74B5"/>
          <w:sz w:val="24"/>
          <w:szCs w:val="24"/>
        </w:rPr>
        <w:t xml:space="preserve">4.7 近期未发现新增股份回购计划</w:t>
      </w:r>
    </w:p>
    <w:p>
      <w:pPr>
        <w:spacing w:after="160" w:line="300"/>
      </w:pPr>
      <w:r>
        <w:rPr>
          <w:sz w:val="22"/>
          <w:szCs w:val="22"/>
        </w:rPr>
        <w:t xml:space="preserve">2026年半年度报告披露，公司报告期内不存在股份回购实施情况，也不存在采用集中竞价方式减持回购股份的情况。结合2026年8月至9月公告检索，暂未发现公司新披露回购方案或回购进展公告。</w:t>
      </w:r>
    </w:p>
    <w:p>
      <w:pPr>
        <w:pStyle w:val="Heading2"/>
        <w:spacing w:after="120" w:before="240"/>
      </w:pPr>
      <w:r>
        <w:rPr>
          <w:b/>
          <w:bCs/>
          <w:color w:val="2E74B5"/>
          <w:sz w:val="24"/>
          <w:szCs w:val="24"/>
        </w:rPr>
        <w:t xml:space="preserve">4.8 2026年6月30日前十大流通股东出现变化</w:t>
      </w:r>
    </w:p>
    <w:p>
      <w:pPr>
        <w:spacing w:after="160" w:line="300"/>
      </w:pPr>
      <w:r>
        <w:rPr>
          <w:sz w:val="22"/>
          <w:szCs w:val="22"/>
        </w:rPr>
        <w:t xml:space="preserve">截至2026年6月30日，公司普通股股东总数为21,178户，较2026年3月31日减少3708户，环比减少约14.90%。高盛国际－自有资金新进入前十大流通股东，持股约69.65万股，占流通股比例约0.28%；北向资金持股较上一报告期减少约40.4%，降至约163.36万股；王兆锋持股较上一报告期减少约19.5%，降至约61.26万股；西部利得专精特新量化选股混合A有增持情况，博道成长智航股票A等部分股东退出前十大流通股东。上述变化来自定期报告披露的股东持仓变动，不等同于已披露的集中竞价减持计划。</w:t>
      </w:r>
    </w:p>
    <w:p>
      <w:pPr>
        <w:pStyle w:val="Heading2"/>
        <w:spacing w:after="120" w:before="240"/>
      </w:pPr>
      <w:r>
        <w:rPr>
          <w:b/>
          <w:bCs/>
          <w:color w:val="2E74B5"/>
          <w:sz w:val="24"/>
          <w:szCs w:val="24"/>
        </w:rPr>
        <w:t xml:space="preserve">4.9 定增限售股预计于2026年9月30日解除限售</w:t>
      </w:r>
    </w:p>
    <w:p>
      <w:pPr>
        <w:spacing w:after="160" w:line="300"/>
      </w:pPr>
      <w:r>
        <w:rPr>
          <w:sz w:val="22"/>
          <w:szCs w:val="22"/>
        </w:rPr>
        <w:t xml:space="preserve">公司2025年度向特定对象发行的31,263,026股股份，发行价格为23.99元/股，已于2026年3月30日上市，预计于2026年9月30日解除限售。预计解禁数量为31,263,026股，约占公司总股本11.15%。主要限售股股东包括国家军民融合产业投资基金二期有限责任公司，持有13,172,155股；财通基金管理有限公司，持有5,160,483股；诺德基金管理有限公司，持有3,476,448股；华泰资产管理有限公司，持有2,876,198股；江西金露科技投资有限公司，持有2,000,833股。实际可流通数量仍应以公司、深交所及中国结算最终披露为准。</w:t>
      </w:r>
    </w:p>
    <w:p>
      <w:pPr>
        <w:pStyle w:val="Heading2"/>
        <w:spacing w:after="120" w:before="240"/>
      </w:pPr>
      <w:r>
        <w:rPr>
          <w:b/>
          <w:bCs/>
          <w:color w:val="2E74B5"/>
          <w:sz w:val="24"/>
          <w:szCs w:val="24"/>
        </w:rPr>
        <w:t xml:space="preserve">4.10 近期未发现新的重大并购、重组或重大监管事项</w:t>
      </w:r>
    </w:p>
    <w:p>
      <w:pPr>
        <w:spacing w:after="160" w:line="300"/>
      </w:pPr>
      <w:r>
        <w:rPr>
          <w:sz w:val="22"/>
          <w:szCs w:val="22"/>
        </w:rPr>
        <w:t xml:space="preserve">截至2026年9月13日，未检索到公司在2026年8月至9月披露新的重大并购、资产出售或重大资产重组事项。公司此前涉及的四川赛康智能科技股份有限公司51%股权收购属于前期已披露事项，交易金额约2.448亿元，不属于2026年8月至9月新增公告。同期未发现公司收到重大监管处罚、纪律处分或重大问询函。</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21.13元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上涨1.04元，涨幅5.18%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19.57元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约2146.58万股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约4.4318亿元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约1.56至1.64，不同行情源存在轻微口径差异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约59.16亿元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约71.32倍；扣除非经常性损益后约76.11倍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约3.66倍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35.14元/13.29元；当前价格较高点低约39.9%，较低点高约59.1%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股价由2026年7月21日盘中低点13.29元附近反弹至2026年9月11日收盘21.13元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中期已脱离7月低点并形成明显反弹；短期接近21.20至21.50元前高压力区，波动及获利盘兑现压力有所上升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约19.57元/19.02元/18.61元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截至9月11日收盘价高于上述均线，且MA5＞MA10＞MA20，短期均线呈多头排列；不同行情源因复权方式和计算时点不同存在差异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交叉参考均线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截至2026年9月10日，MA5约19.89元、MA10约19.62元、MA20约19.27元、MA50约18.83元、MA100约18.45元、MA200约17.33元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均线整体位于收盘价21.13元下方，显示价格仍处于偏强位置；该组数据仅作技术参考，非完全一致的官方统计值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截至2026年9月10日约0.29，页面信号为买入，MACD柱线处于正值区域</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短期动能偏强；但连续上涨后需观察红柱是否继续放大，以及是否出现价格创新高而MACD动能减弱的背离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截至2026年9月10日为64.075；截至9月11日的可靠更新值缺失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截至9月10日处于偏强但未达到传统70超买阈值；9月11日上涨后最新数值可能抬升，但未作未经核实的精确判断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自行测算：中轨约18.61元，上轨约20.65至20.70元，下轨约16.55至16.60元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9月11日收盘价21.13元位于自行测算上轨附近或上方，短线偏强但偏离20日均值较远；若量能不能维持，存在回归20日均线附近的可能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资金指标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截至2026年9月11日：DDX 0.164、DDY 0.772、DDZ 5.629、BBD约842.05万元、大单差3.2、中单差1.8、特大单差-1.3、小单差-3.7、单数比1.162、主动率约8.643%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第三方主动买卖单统计整体偏正，但特大单差为负，资金流入并非完全由超大单推动；该指标不等同于交易所披露的主力资金，不能据此确认机构持续建仓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近期成交活跃度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9月4日至9月7日成交额约0.80亿至1.01亿元、换手率约1.78%至2.21%；9月8日至9月11日成交额约3.36亿至4.43亿元、换手率约6.89%至8.64%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近期成交额和换手率明显抬升，市场参与度提高、筹码交换加快；若上涨而成交额快速回落，可能反映追价资金不足，高位放量滞涨则需关注分歧扩大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截至2026年6月30日，前十大股东合计持股约1.7198亿股，占总股本约69.01%；第一大股东广州数字科技集团有限公司持股约66.53%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高集中度主要来自控股股东，并非大量公募基金、社保或QFII共同形成；香港中央结算约0.66%、西部利得专精特新量化选股混合基金约0.29%、高盛国际—自有资金约0.28%，单一公募基金及QFII持股比例较低。股东数据距最新行情约两个半月，期间结构可能已变化</w:t>
            </w:r>
          </w:p>
        </w:tc>
      </w:tr>
    </w:tbl>
    <w:p>
      <w:pPr>
        <w:spacing w:before="200"/>
      </w:pPr>
    </w:p>
    <w:p>
      <w:pPr>
        <w:spacing w:after="160" w:line="300"/>
      </w:pPr>
      <w:r>
        <w:rPr>
          <w:sz w:val="22"/>
          <w:szCs w:val="22"/>
        </w:rPr>
        <w:t xml:space="preserve">截至2026年9月11日，广哈通信收盘21.13元，较52周低点13.29元已明显反弹，但仍低于52周高点35.14元。股价高于MA5、MA10和MA20，短期均线呈多头排列，MACD处于正值区域，RSI(14)截至9月10日为64.075，技术面整体偏强。与此同时，股价已接近21.20至21.50元前高压力区并位于自行测算布林上轨附近或上方，短线需关注高位震荡、获利盘兑现及量价配合。9月8日至9月11日成交额和换手率显著高于9月4日至9月7日，资金关注度提升，但第三方资金指标存在分歧，尚不能仅凭单日资金流向确认持续性主升趋势。</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21.20~21.50元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对应9月11日盘中高点21.21元及9月8日盘中高点21.48元，也接近自行测算的布林上轨。若放量有效突破该区间，可能打开向22.00元附近试探的空间；若多次冲击不能站稳，需关注冲高回落。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20.00~20.20元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对应20元附近的短线承接区域及9月10日收盘价20.09元。若回落后在该区间缩量企稳，短期强势结构仍可能保持；有效失守则需观察下方19.40~19.70元支撑。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19.40~19.70元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对应9月11日盘中低点19.40元及此前价格密集区域。若有效跌破19.40元，短线强势结构将明显削弱，后续可能回探18.60~19.00元一带的20日均线及前期成交密集区。</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主观权重相对较高，约六成左右；该权重是基于当前技术面和资金面环境的启发式判断，不是统计概率）：参考区间19.70~21.50元。触发条件包括股价在20元附近获得支撑、成交额由近期约3亿至4.43亿元水平回落但未明显跌破19.40元，以及通信设备或相关题材板块表现分化。该情景下，股价可能围绕20元至21.50元反复震荡，等待成交量或新的消息催化。</w:t>
      </w:r>
    </w:p>
    <w:p>
      <w:pPr>
        <w:pStyle w:val="ListParagraph"/>
        <w:numPr>
          <w:ilvl w:val="0"/>
          <w:numId w:val="2"/>
        </w:numPr>
        <w:spacing w:after="80" w:line="280"/>
      </w:pPr>
      <w:r>
        <w:rPr>
          <w:sz w:val="22"/>
          <w:szCs w:val="22"/>
        </w:rPr>
        <w:t xml:space="preserve">偏弱回落（主观权重中等；该权重是基于当前技术面和资金面环境的启发式判断，不是统计概率）：参考区间18.60~20.00元。触发条件包括跌破20元后不能快速收回、单日成交额明显放大但收盘接近全天低位、19.40元附近支撑失效，或通信、AI、军工题材出现明显退潮。若19.40元有效跌破，需观察18.60~19.00元附近的回撤风险。</w:t>
      </w:r>
    </w:p>
    <w:p>
      <w:pPr>
        <w:pStyle w:val="ListParagraph"/>
        <w:numPr>
          <w:ilvl w:val="0"/>
          <w:numId w:val="2"/>
        </w:numPr>
        <w:spacing w:after="80" w:line="280"/>
      </w:pPr>
      <w:r>
        <w:rPr>
          <w:sz w:val="22"/>
          <w:szCs w:val="22"/>
        </w:rPr>
        <w:t xml:space="preserve">放量反弹走强（主观权重偏低但不能排除；该权重是基于当前技术面和资金面环境的启发式判断，不是统计概率）：参考区间21.50~22.50元。触发条件包括放量突破21.50元、单日成交额维持4亿元以上且收盘接近全天高位、DDX和BBD等主动资金指标连续保持正值，以及通信设备、6G、智能指挥调度等相关题材同步走强。若突破后连续两个交易日站稳，才更有利于向22.00~22.50元区域拓展；若仅盘中突破后收回21元下方，则更接近冲高试探。</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8.64%，成交额为4.43亿元；近4个交易日成交额约3.36亿至4.43亿元，而9月4日至9月7日仅约0.80亿至1.01亿元。近期高换手和放量表明市场参与度提高、流通筹码交换加快，但也意味着短线分歧扩大。股东结构数据显示，截至2026年6月30日，前十大股东合计持股约69.01%，其中控股股东广州数字科技集团有限公司持股约66.53%；单一公募基金、QFII持股比例较低，公开资料未显示社保形成显著持股。该股东数据存在约两个半月滞后，可能无法完全代表9月中旬最新筹码分布。实际含义是，可交易股份相对有限时，股价可能对边际资金较敏感；在成交额较低阶段，盘口承接和成交滑点可能较易受资金变化影响，但高集中度本身并不等同于短期上涨。</w:t>
      </w:r>
    </w:p>
    <w:p>
      <w:pPr>
        <w:spacing w:after="160" w:line="300"/>
      </w:pPr>
      <w:r>
        <w:rPr>
          <w:sz w:val="22"/>
          <w:szCs w:val="22"/>
        </w:rPr>
        <w:t xml:space="preserve">可检查的量能确认信号：若未来一周单日成交额能够连续维持在4亿元以上，且股价收盘稳定在21.50元上方，可视为突破得到量能确认；若成交额降至2亿元以下且股价跌破20元，则需重点观察短线资金承接是否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观察21.20~21.50元压力区能否有效突破并收稳，而非仅观察盘中是否触及。</w:t>
      </w:r>
    </w:p>
    <w:p>
      <w:pPr>
        <w:pStyle w:val="ListParagraph"/>
        <w:numPr>
          <w:ilvl w:val="0"/>
          <w:numId w:val="2"/>
        </w:numPr>
        <w:spacing w:after="80" w:line="280"/>
      </w:pPr>
      <w:r>
        <w:rPr>
          <w:sz w:val="22"/>
          <w:szCs w:val="22"/>
        </w:rPr>
        <w:t xml:space="preserve">观察20.00~20.20元能否构成第一支撑；若支撑失效，继续观察19.40~19.70元区域。</w:t>
      </w:r>
    </w:p>
    <w:p>
      <w:pPr>
        <w:pStyle w:val="ListParagraph"/>
        <w:numPr>
          <w:ilvl w:val="0"/>
          <w:numId w:val="2"/>
        </w:numPr>
        <w:spacing w:after="80" w:line="280"/>
      </w:pPr>
      <w:r>
        <w:rPr>
          <w:sz w:val="22"/>
          <w:szCs w:val="22"/>
        </w:rPr>
        <w:t xml:space="preserve">若19.40元被有效跌破，观察18.60~19.00元区域的回撤风险。</w:t>
      </w:r>
    </w:p>
    <w:p>
      <w:pPr>
        <w:pStyle w:val="ListParagraph"/>
        <w:numPr>
          <w:ilvl w:val="0"/>
          <w:numId w:val="2"/>
        </w:numPr>
        <w:spacing w:after="80" w:line="280"/>
      </w:pPr>
      <w:r>
        <w:rPr>
          <w:sz w:val="22"/>
          <w:szCs w:val="22"/>
        </w:rPr>
        <w:t xml:space="preserve">观察单日成交额能否连续达到4亿元以上，以及放量时收盘位置是否偏强。以上均为观察思路，非操作指令。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数字指挥调度系统市场按电力、国防、铁路、能源、应急等应用领域分割，广哈通信主要聚焦国内电力调度、国防指挥调度、铁路调度通信及相关数智化服务。根据公司2025年度向特定对象发行募集说明书引用的智研咨询数据，2024年中国数字指挥调度系统市场规模约41.70亿元，同比增长5.84%；该数据为公司引用的第三方行业研究数据，未在本次研究中独立核验。</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国防市场具有严格的军工资质、供应商准入和产品认证要求，进入壁垒较高，主要由具备相关资质和长期项目经验的企业参与，竞争格局相对集中。</w:t>
      </w:r>
    </w:p>
    <w:p>
      <w:pPr>
        <w:pStyle w:val="ListParagraph"/>
        <w:numPr>
          <w:ilvl w:val="0"/>
          <w:numId w:val="2"/>
        </w:numPr>
        <w:spacing w:after="80" w:line="280"/>
      </w:pPr>
      <w:r>
        <w:rPr>
          <w:sz w:val="22"/>
          <w:szCs w:val="22"/>
        </w:rPr>
        <w:t xml:space="preserve">铁路市场需要通过CRCC认证，竞争企业数量少于一般通信设备市场；铁路调度通信向多媒体化、IP化和5G-R方向演进，带来升级需求，也提高了技术和认证要求。</w:t>
      </w:r>
    </w:p>
    <w:p>
      <w:pPr>
        <w:pStyle w:val="ListParagraph"/>
        <w:numPr>
          <w:ilvl w:val="0"/>
          <w:numId w:val="2"/>
        </w:numPr>
        <w:spacing w:after="80" w:line="280"/>
      </w:pPr>
      <w:r>
        <w:rPr>
          <w:sz w:val="22"/>
          <w:szCs w:val="22"/>
        </w:rPr>
        <w:t xml:space="preserve">电力、能源及应急市场参与者相对更多、市场化程度相对较高，竞争重点包括行业项目经验、系统可靠性与安全性、国产化和自主可控能力、大型国企客户合作记录、产品兼容性、二次开发能力以及项目交付和长期运维服务能力。</w:t>
      </w:r>
    </w:p>
    <w:p>
      <w:pPr>
        <w:pStyle w:val="ListParagraph"/>
        <w:numPr>
          <w:ilvl w:val="0"/>
          <w:numId w:val="2"/>
        </w:numPr>
        <w:spacing w:after="80" w:line="280"/>
      </w:pPr>
      <w:r>
        <w:rPr>
          <w:sz w:val="22"/>
          <w:szCs w:val="22"/>
        </w:rPr>
        <w:t xml:space="preserve">公司收入高度依赖境内市场，2025年境内收入占比99.99%；业务以电力、国防等关键行业客户为主，采购通常具有项目制、招投标、验收和长期服务特征。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佳讯飞鸿（300213）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面向铁路、地铁、国防、能源、水利、民航等行业，提供指挥调度系统、应急通信系统、视频监控、安全防灾、现场作业管理和通信安全监测等产品。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相较广哈通信，产品线在铁路、轨道交通及综合安全防灾场景更加多元，行业覆盖更广。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海能达（002583）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提供专业无线通信、专用通信产品和解决方案，服务公共安全、应急、能源、交通和工商业客户。</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产品体系更偏专业无线通信、集群通信和全球专网通信，海外业务规模明显更大；广哈通信更聚焦电力调度、国防指挥调度和国内行业专网。</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上海瀚讯（300762）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从事行业宽带移动通信设备研发、制造、销售和工程实施，面向军方、铁路等客户提供宽带移动通信系统解决方案。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更偏军用宽带移动通信和行业宽带无线通信；广哈通信传统优势在有线/融合指挥调度、调度交换系统及电力调度通信。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长江通信（600345）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服务公安、消防、应急、城市运营、交通运输、能源及园区客户，提供感知预警、接报受理、指挥调度、辅助决策和分析研判等数智化解决方案。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更偏城市治理、应急管理和综合数智化应用；广哈通信在电力调度通信、军用通信和铁路调度通信领域积累更深。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邦彦技术（688132）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面向国家和国防信息化建设，产品包括富媒体指挥调度系统、智能导控系统、敏捷网络控制系统、船舶通信控制系统、数据通信系统和安全通信平台等。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更加聚焦国防信息化、军用通信和信息安全；广哈通信业务结构同时覆盖电力、铁路、应急等民用关键行业。</w:t>
            </w:r>
          </w:p>
        </w:tc>
      </w:tr>
    </w:tbl>
    <w:p>
      <w:pPr>
        <w:spacing w:before="200"/>
      </w:pPr>
    </w:p>
    <w:p>
      <w:pPr>
        <w:spacing w:after="160" w:line="300"/>
      </w:pPr>
      <w:r>
        <w:rPr>
          <w:sz w:val="22"/>
          <w:szCs w:val="22"/>
        </w:rPr>
        <w:t xml:space="preserve">广哈通信与上述公司存在业务交叉，但并非完全同质化可比。其相对优势在于电力调度通信、国防指挥调度和铁路调度通信等关键行业的资质、长期运行经验及软硬件一体化能力；相较海能达，其海外和专业无线通信属性较弱；相较佳讯飞鸿，其铁路、轨道交通及综合安全防灾产品覆盖相对集中；相较上海瀚讯、邦彦技术，其业务并非主要聚焦军用宽带或国防信息化，而是同时覆盖电力、铁路、应急等行业。五家同行业上市公司为募集说明书列示的广义可比公司，业务重合度不同，不能直接用各公司整体收入或估值进行简单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业绩释放不及预期风险：2026年上半年营业收入同比增长29.58%，但归母净利润同比下降52.11%至1170.33万元；若下半年收入确认、项目验收或费用控制不及预期，机构预测的全年归母净利润目标可能难以实现。</w:t>
      </w:r>
    </w:p>
    <w:p>
      <w:pPr>
        <w:pStyle w:val="ListParagraph"/>
        <w:numPr>
          <w:ilvl w:val="0"/>
          <w:numId w:val="2"/>
        </w:numPr>
        <w:spacing w:after="80" w:line="280"/>
      </w:pPr>
      <w:r>
        <w:rPr>
          <w:sz w:val="22"/>
          <w:szCs w:val="22"/>
        </w:rPr>
        <w:t xml:space="preserve">经营现金流及回款风险：公司业务具有方案设计、生产、安装、调试、验收和回款等项目制特征，2026年上半年经营活动现金流量净额为-6525.22万元；直销收入占比92.96%，公司需承担较多项目交付、验收和应收账款管理责任。</w:t>
      </w:r>
    </w:p>
    <w:p>
      <w:pPr>
        <w:pStyle w:val="ListParagraph"/>
        <w:numPr>
          <w:ilvl w:val="0"/>
          <w:numId w:val="2"/>
        </w:numPr>
        <w:spacing w:after="80" w:line="280"/>
      </w:pPr>
      <w:r>
        <w:rPr>
          <w:sz w:val="22"/>
          <w:szCs w:val="22"/>
        </w:rPr>
        <w:t xml:space="preserve">行业和客户集中风险：2025年电力收入约占65.5%、国防收入约占31.0%，境内收入占比99.99%；电力客户采购规模和技术标准制定能力较强，国防订单还可能受到订单节奏、验收流程及政策变化影响，单一行业或国内市场波动可能对公司收入造成影响。</w:t>
      </w:r>
    </w:p>
    <w:p>
      <w:pPr>
        <w:pStyle w:val="ListParagraph"/>
        <w:numPr>
          <w:ilvl w:val="0"/>
          <w:numId w:val="2"/>
        </w:numPr>
        <w:spacing w:after="80" w:line="280"/>
      </w:pPr>
      <w:r>
        <w:rPr>
          <w:sz w:val="22"/>
          <w:szCs w:val="22"/>
        </w:rPr>
        <w:t xml:space="preserve">新业务整合及盈利不确定性风险：公司通过赛康智能进入输变电设备智能检测等领域，并推动数智化服务扩张；同时，广有通信2026年上半年净利润为-692.16万元。若并购业务、子公司和原有通信业务协同不足，可能影响整体利润率和投入产出效率。</w:t>
      </w:r>
    </w:p>
    <w:p>
      <w:pPr>
        <w:pStyle w:val="ListParagraph"/>
        <w:numPr>
          <w:ilvl w:val="0"/>
          <w:numId w:val="2"/>
        </w:numPr>
        <w:spacing w:after="80" w:line="280"/>
      </w:pPr>
      <w:r>
        <w:rPr>
          <w:sz w:val="22"/>
          <w:szCs w:val="22"/>
        </w:rPr>
        <w:t xml:space="preserve">募投项目实施风险：公司募集资金净额约7.4455亿元，截至2026年6月末已使用约3723.23万元，较大规模资金仍处于存放状态；新一代智能调度系统、数智指挥系统升级及核心技术研究项目后续仍面临建设进度、市场需求、技术落地和产能消化不及预期的风险。</w:t>
      </w:r>
    </w:p>
    <w:p>
      <w:pPr>
        <w:pStyle w:val="ListParagraph"/>
        <w:numPr>
          <w:ilvl w:val="0"/>
          <w:numId w:val="2"/>
        </w:numPr>
        <w:spacing w:after="80" w:line="280"/>
      </w:pPr>
      <w:r>
        <w:rPr>
          <w:sz w:val="22"/>
          <w:szCs w:val="22"/>
        </w:rPr>
        <w:t xml:space="preserve">成本与毛利率波动风险：可靠通信网络业务成本中材料成本占该业务营业成本的56.93%，公司对通用电子元器件采购价格缺乏绝对控制力；若电子元器件、外购通信设备或项目实施成本上升，且产品结构和定价无法同步改善，可能压缩盈利空间。</w:t>
      </w:r>
    </w:p>
    <w:p>
      <w:pPr>
        <w:pStyle w:val="ListParagraph"/>
        <w:numPr>
          <w:ilvl w:val="0"/>
          <w:numId w:val="2"/>
        </w:numPr>
        <w:spacing w:after="80" w:line="280"/>
      </w:pPr>
      <w:r>
        <w:rPr>
          <w:sz w:val="22"/>
          <w:szCs w:val="22"/>
        </w:rPr>
        <w:t xml:space="preserve">估值与股价波动风险：截至2026年9月11日，公司市盈率约71.32倍、扣非市盈率约76.11倍，股价短期已接近21.20—21.50元压力区；若业绩兑现、订单落地或新业务毛利率改善不及市场预期，较高估值可能加剧股价回撤和波动。</w:t>
      </w:r>
    </w:p>
    <w:p>
      <w:pPr>
        <w:pStyle w:val="ListParagraph"/>
        <w:numPr>
          <w:ilvl w:val="0"/>
          <w:numId w:val="2"/>
        </w:numPr>
        <w:spacing w:after="80" w:line="280"/>
      </w:pPr>
      <w:r>
        <w:rPr>
          <w:sz w:val="22"/>
          <w:szCs w:val="22"/>
        </w:rPr>
        <w:t xml:space="preserve">限售股解禁及筹码波动风险：公司定增发行的31,263,026股股份预计于2026年9月30日解除限售，约占总股本11.15%；实际可流通数量仍以最终披露为准，解禁后流通股份增加可能带来阶段性供给和价格波动。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电力、国防、铁路等高可靠通信场景的持续需求，以及可靠通信网络、泛指挥调度系统和数智化服务的协同发展。2025年收入和利润创历史新高，数智化服务毛利率提升至59.05%，赛康智能并表及智能检测业务扩张为收入结构优化提供了支撑；募投项目则聚焦新一代智能调度、数智指挥系统升级和智能化核心技术研究。</w:t>
      </w:r>
    </w:p>
    <w:p>
      <w:pPr>
        <w:spacing w:after="160" w:line="300"/>
      </w:pPr>
      <w:r>
        <w:rPr>
          <w:sz w:val="22"/>
          <w:szCs w:val="22"/>
        </w:rPr>
        <w:t xml:space="preserve">后续观察重点在于新业务能否形成可持续收入和利润贡献、广有通信及赛康智能的经营改善、募投项目建设和资金使用效率，以及项目制业务的验收回款和经营现金流修复。2026年上半年扣非归母净利润增长但归母净利润下降，说明利润表现仍受非经常性收益基数、费用投入、少数股东损益及定增后股本变化影响。</w:t>
      </w:r>
    </w:p>
    <w:p>
      <w:pPr>
        <w:spacing w:after="160" w:line="300"/>
      </w:pPr>
      <w:r>
        <w:rPr>
          <w:sz w:val="22"/>
          <w:szCs w:val="22"/>
        </w:rPr>
        <w:t xml:space="preserve">公司当前估值水平较高，且机构对2026—2027年的盈利预测早于2026年半年度报告，预测兑现依赖下半年较强业绩释放。技术面虽处于偏强状态，但21.20—21.50元附近存在压力，若成交量无法持续或支撑位失守，股价可能面临较大波动。因此，基本面成长、业绩兑现、估值消化和短期资金博弈将共同决定后续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产品中心---广哈通信 — https://www.ghtchina.com/show_list.php?id=3&amp;utm_source=openai</w:t>
      </w:r>
    </w:p>
    <w:p>
      <w:pPr>
        <w:spacing w:after="200"/>
      </w:pPr>
      <w:r>
        <w:rPr>
          <w:i/>
          <w:iCs/>
          <w:color w:val="595959"/>
          <w:sz w:val="18"/>
          <w:szCs w:val="18"/>
        </w:rPr>
        <w:t xml:space="preserve">https://disc.static.szse.cn/disc/disk03/finalpage/2026-03-27/adb170c3-24e0-4f60-9453-1b0a1d20e6c5.PDF — https://disc.static.szse.cn/disc/disk03/finalpage/2026-03-27/adb170c3-24e0-4f60-9453-1b0a1d20e6c5.PDF</w:t>
      </w:r>
    </w:p>
    <w:p>
      <w:pPr>
        <w:spacing w:after="200"/>
      </w:pPr>
      <w:r>
        <w:rPr>
          <w:i/>
          <w:iCs/>
          <w:color w:val="595959"/>
          <w:sz w:val="18"/>
          <w:szCs w:val="18"/>
        </w:rPr>
        <w:t xml:space="preserve">https://www.ghtchina.com/show_list.php?id=8&amp;utm_source=openai — https://www.ghtchina.com/show_list.php?id=8&amp;utm_source=openai</w:t>
      </w:r>
    </w:p>
    <w:p>
      <w:pPr>
        <w:spacing w:after="200"/>
      </w:pPr>
      <w:r>
        <w:rPr>
          <w:i/>
          <w:iCs/>
          <w:color w:val="595959"/>
          <w:sz w:val="18"/>
          <w:szCs w:val="18"/>
        </w:rPr>
        <w:t xml:space="preserve">https://static.cninfo.com.cn/finalpage/2025-10-17/1224717457.PDF — https://static.cninfo.com.cn/finalpage/2025-10-17/1224717457.PDF</w:t>
      </w:r>
    </w:p>
    <w:p>
      <w:pPr>
        <w:spacing w:after="200"/>
      </w:pPr>
      <w:r>
        <w:rPr>
          <w:i/>
          <w:iCs/>
          <w:color w:val="595959"/>
          <w:sz w:val="18"/>
          <w:szCs w:val="18"/>
        </w:rPr>
        <w:t xml:space="preserve">广哈通信(300711)_公司公告_广哈通信：2026年第一次临时股东会决议公告新浪财经_新浪网 — https://money.finance.sina.com.cn/corp/view/vCB_AllBulletinDetail.php?id=12590826&amp;stockid=300711</w:t>
      </w:r>
    </w:p>
    <w:p>
      <w:pPr>
        <w:spacing w:after="200"/>
      </w:pPr>
      <w:r>
        <w:rPr>
          <w:i/>
          <w:iCs/>
          <w:color w:val="595959"/>
          <w:sz w:val="18"/>
          <w:szCs w:val="18"/>
        </w:rPr>
        <w:t xml:space="preserve">广哈通信(300711)_公司公告_广哈通信：中信证券股份有限公司关于广州广哈通信股份有限公司2026年半年度跟踪报告新浪财经_新浪网 — https://money.finance.sina.com.cn/corp/view/vCB_AllBulletinDetail.php?id=12591072&amp;stockid=300711</w:t>
      </w:r>
    </w:p>
    <w:p>
      <w:pPr>
        <w:spacing w:after="200"/>
      </w:pPr>
      <w:r>
        <w:rPr>
          <w:i/>
          <w:iCs/>
          <w:color w:val="595959"/>
          <w:sz w:val="18"/>
          <w:szCs w:val="18"/>
        </w:rPr>
        <w:t xml:space="preserve">广哈通信(300711)_公司公告_广哈通信：关于使用募集资金增资子公司以实施募投项目的公告新浪财经_新浪网 — https://money.finance.sina.com.cn/corp/view/vCB_AllBulletinDetail.php?id=12512050&amp;stockid=300711</w:t>
      </w:r>
    </w:p>
    <w:p>
      <w:pPr>
        <w:spacing w:after="200"/>
      </w:pPr>
      <w:r>
        <w:rPr>
          <w:i/>
          <w:iCs/>
          <w:color w:val="595959"/>
          <w:sz w:val="18"/>
          <w:szCs w:val="18"/>
        </w:rPr>
        <w:t xml:space="preserve">广哈通信(300711)_公司公告_广哈通信：2026年半年度报告新浪财经_新浪网 — https://money.finance.sina.com.cn/corp/view/vCB_AllBulletinDetail.php?id=12512046&amp;stockid=300711</w:t>
      </w:r>
    </w:p>
    <w:p>
      <w:pPr>
        <w:spacing w:after="200"/>
      </w:pPr>
      <w:r>
        <w:rPr>
          <w:i/>
          <w:iCs/>
          <w:color w:val="595959"/>
          <w:sz w:val="18"/>
          <w:szCs w:val="18"/>
        </w:rPr>
        <w:t xml:space="preserve">广哈通信(300711)_公司公告_广哈通信：2026年上半年募集资金存放、管理与使用情况的专项报告新浪财经_新浪网 — https://money.finance.sina.com.cn/corp/view/vCB_AllBulletinDetail.php?id=12512052&amp;stockid=300711&amp;utm_source=openai</w:t>
      </w:r>
    </w:p>
    <w:p>
      <w:pPr>
        <w:spacing w:after="200"/>
      </w:pPr>
      <w:r>
        <w:rPr>
          <w:i/>
          <w:iCs/>
          <w:color w:val="595959"/>
          <w:sz w:val="18"/>
          <w:szCs w:val="18"/>
        </w:rPr>
        <w:t xml:space="preserve">证券代码：300711  证券简称：广哈通信  公告编号：2026-004 — https://static.cninfo.com.cn/finalpage/2026-01-22/1224945428.PDF?utm_source=openai</w:t>
      </w:r>
    </w:p>
    <w:p>
      <w:pPr>
        <w:spacing w:after="200"/>
      </w:pPr>
      <w:r>
        <w:rPr>
          <w:i/>
          <w:iCs/>
          <w:color w:val="595959"/>
          <w:sz w:val="18"/>
          <w:szCs w:val="18"/>
        </w:rPr>
        <w:t xml:space="preserve">广哈通信十大流通股东格局生变：高盛国际－自有资金等新进，博道成长智航股票A等退出，北向资金等减持_新浪财经_新浪网 — https://finance.sina.com.cn/stock/aiassist/sdltgdbh/2026-08-21/doc-ininzyeu1453000.shtml?utm_source=openai</w:t>
      </w:r>
    </w:p>
    <w:p>
      <w:pPr>
        <w:spacing w:after="200"/>
      </w:pPr>
      <w:r>
        <w:rPr>
          <w:i/>
          <w:iCs/>
          <w:color w:val="595959"/>
          <w:sz w:val="18"/>
          <w:szCs w:val="18"/>
        </w:rPr>
        <w:t xml:space="preserve">广哈通信(300711)_公司公告_广哈通信：2026年半年度报告新浪财经_新浪网 — https://vip.stock.finance.sina.com.cn/corp/view/vCB_AllBulletinDetail.php?id=12512046&amp;stockid=300711&amp;utm_source=openai</w:t>
      </w:r>
    </w:p>
    <w:p>
      <w:pPr>
        <w:spacing w:after="200"/>
      </w:pPr>
      <w:r>
        <w:rPr>
          <w:i/>
          <w:iCs/>
          <w:color w:val="595959"/>
          <w:sz w:val="18"/>
          <w:szCs w:val="18"/>
        </w:rPr>
        <w:t xml:space="preserve">广哈通信_ 个股日历 _ 东方财富网_ 数据频道 — https://data.eastmoney.com/stockcalendar/300711.html?utm_source=openai</w:t>
      </w:r>
    </w:p>
    <w:p>
      <w:pPr>
        <w:spacing w:after="200"/>
      </w:pPr>
      <w:r>
        <w:rPr>
          <w:i/>
          <w:iCs/>
          <w:color w:val="595959"/>
          <w:sz w:val="18"/>
          <w:szCs w:val="18"/>
        </w:rPr>
        <w:t xml:space="preserve">广哈通信：关于对外投资的进展公告_手机同花顺财经 — https://m.10jqka.com.cn/sn/20260313/56674667.shtml?utm_source=openai</w:t>
      </w:r>
    </w:p>
    <w:p>
      <w:pPr>
        <w:spacing w:after="200"/>
      </w:pPr>
      <w:r>
        <w:rPr>
          <w:i/>
          <w:iCs/>
          <w:color w:val="595959"/>
          <w:sz w:val="18"/>
          <w:szCs w:val="18"/>
        </w:rPr>
        <w:t xml:space="preserve">ZQ22B078-HF — https://epaper.stcn.com/att/202403/22/7587dad3-2130-468c-ae69-7b6bca07912e.pdf?utm_source=openai</w:t>
      </w:r>
    </w:p>
    <w:p>
      <w:pPr>
        <w:spacing w:after="200"/>
      </w:pPr>
      <w:r>
        <w:rPr>
          <w:i/>
          <w:iCs/>
          <w:color w:val="595959"/>
          <w:sz w:val="18"/>
          <w:szCs w:val="18"/>
        </w:rPr>
        <w:t xml:space="preserve">广哈通信(300711)股票历史数据:历史行情,价格,走势图表_英为财情Investing.com — https://cn.investing.com/equities/ght-a-historical-data?utm_source=openai</w:t>
      </w:r>
    </w:p>
    <w:p>
      <w:pPr>
        <w:spacing w:after="200"/>
      </w:pPr>
      <w:r>
        <w:rPr>
          <w:i/>
          <w:iCs/>
          <w:color w:val="595959"/>
          <w:sz w:val="18"/>
          <w:szCs w:val="18"/>
        </w:rPr>
        <w:t xml:space="preserve">广哈通信 (300711) - 历史交易数据 | 打板客网 — https://dabanke.com/hangqing-300711.html?utm_source=openai</w:t>
      </w:r>
    </w:p>
    <w:p>
      <w:pPr>
        <w:spacing w:after="200"/>
      </w:pPr>
      <w:r>
        <w:rPr>
          <w:i/>
          <w:iCs/>
          <w:color w:val="595959"/>
          <w:sz w:val="18"/>
          <w:szCs w:val="18"/>
        </w:rPr>
        <w:t xml:space="preserve">广哈通信(300711)股票行情走势技术分析_未来预测_买卖操作建议_英为财情Investing.com — https://cn.investing.com/equities/ght-a-technical?utm_source=openai</w:t>
      </w:r>
    </w:p>
    <w:p>
      <w:pPr>
        <w:spacing w:after="200"/>
      </w:pPr>
      <w:r>
        <w:rPr>
          <w:i/>
          <w:iCs/>
          <w:color w:val="595959"/>
          <w:sz w:val="18"/>
          <w:szCs w:val="18"/>
        </w:rPr>
        <w:t xml:space="preserve">广哈通信300711股票DDX实时资金趋势,主力资金流向,ddx,ddy,ddz分时数据_DDX查询网 — https://www.stockddx.com/ddx/300711.html?utm_source=openai</w:t>
      </w:r>
    </w:p>
    <w:p>
      <w:pPr>
        <w:spacing w:after="200"/>
      </w:pPr>
      <w:r>
        <w:rPr>
          <w:i/>
          <w:iCs/>
          <w:color w:val="595959"/>
          <w:sz w:val="18"/>
          <w:szCs w:val="18"/>
        </w:rPr>
        <w:t xml:space="preserve">广哈通信(300711)个股分析_牛叉诊股_同花顺财经 — https://doctor.10jqka.com.cn/300711/?utm_source=openai</w:t>
      </w:r>
    </w:p>
    <w:p>
      <w:pPr>
        <w:spacing w:after="200"/>
      </w:pPr>
      <w:r>
        <w:rPr>
          <w:i/>
          <w:iCs/>
          <w:color w:val="595959"/>
          <w:sz w:val="18"/>
          <w:szCs w:val="18"/>
        </w:rPr>
        <w:t xml:space="preserve">广哈通信 (300711) - 历史交易数据 | 打板客网 — https://dabanke.com/hangqing-300711.html</w:t>
      </w:r>
    </w:p>
    <w:p>
      <w:pPr>
        <w:spacing w:after="200"/>
      </w:pPr>
      <w:r>
        <w:rPr>
          <w:i/>
          <w:iCs/>
          <w:color w:val="595959"/>
          <w:sz w:val="18"/>
          <w:szCs w:val="18"/>
        </w:rPr>
        <w:t xml:space="preserve">广哈通信(300711) 最新动态_F10_同花顺金融服务网 — https://basic.10jqka.com.cn/300711/?utm_source=openai</w:t>
      </w:r>
    </w:p>
    <w:p>
      <w:pPr>
        <w:spacing w:after="200"/>
      </w:pPr>
      <w:r>
        <w:rPr>
          <w:i/>
          <w:iCs/>
          <w:color w:val="595959"/>
          <w:sz w:val="18"/>
          <w:szCs w:val="18"/>
        </w:rPr>
        <w:t xml:space="preserve">本报告由AI基于公开渠道信息自动检索、整理并生成，信息截至 截至2026年9月11日收盘；部分行情页面存在延时，实际交易数据以交易所数据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2026-09-13T14:22:59.915Z</dcterms:created>
  <dcterms:modified xsi:type="dcterms:W3CDTF">2026-09-13T14:22:59.915Z</dcterms:modified>
</cp:coreProperties>
</file>

<file path=docProps/custom.xml><?xml version="1.0" encoding="utf-8"?>
<Properties xmlns="http://schemas.openxmlformats.org/officeDocument/2006/custom-properties" xmlns:vt="http://schemas.openxmlformats.org/officeDocument/2006/docPropsVTypes"/>
</file>