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苏州迈为科技股份有限公司（迈为股份） (300751)</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行业：光伏及泛半导体高端智能制造装备</w:t>
      </w:r>
    </w:p>
    <w:p>
      <w:pPr>
        <w:jc w:val="center"/>
      </w:pPr>
      <w:r>
        <w:rPr>
          <w:color w:val="595959"/>
          <w:sz w:val="22"/>
          <w:szCs w:val="22"/>
        </w:rPr>
        <w:t xml:space="preserve">报告日期：2026年9月13日</w:t>
      </w:r>
    </w:p>
    <w:p>
      <w:pPr>
        <w:jc w:val="center"/>
      </w:pPr>
      <w:r>
        <w:rPr>
          <w:color w:val="595959"/>
          <w:sz w:val="20"/>
          <w:szCs w:val="20"/>
        </w:rPr>
        <w:t xml:space="preserve">截至2026年9月11日收盘；股东结构数据截至2026年6月30日，主力资金流向最新可核实数据主要截至2026年9月4日，部分技术指标参考数据截至2026年9月4日。</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迈为股份当前最核心的经营特征是“主业承压、结构改善但现金流和盈利质量仍弱”。2026年上半年营业收入29.09亿元，同比下降30.95%；归母净利润2.52亿元，同比下降35.99%；扣非归母净利润仅1.15亿元，同比下降68.28%。同期光伏收入约26.56亿元，占比91.31%，仍是绝对主业；半导体及显示收入约2.48亿元，同比增长94.66%，境外收入约19.84亿元，同比增长140.64%，显示业务结构和海外市场正在改善，但尚未抵消光伏周期下行影响。</w:t>
      </w:r>
    </w:p>
    <w:p>
      <w:pPr>
        <w:spacing w:after="160" w:line="300"/>
      </w:pPr>
      <w:r>
        <w:rPr>
          <w:sz w:val="22"/>
          <w:szCs w:val="22"/>
        </w:rPr>
        <w:t xml:space="preserve">公司具备真空、激光、精密设备技术平台，在丝网印刷、HJT整线及泛半导体装备领域具有较强竞争力。2025年毛利率回升至38.61%，2026年上半年进一步提升至48.46%，主要受境外高毛利HJT整线及半导体、显示业务占比提升影响。但2025年收入和归母净利润分别下降17.07%和22.06%，2026年上半年扣非利润降幅显著高于归母利润，表明减值、汇兑及非经常性损益对利润表现影响较大。</w:t>
      </w:r>
    </w:p>
    <w:p>
      <w:pPr>
        <w:spacing w:after="160" w:line="300"/>
      </w:pPr>
      <w:r>
        <w:rPr>
          <w:sz w:val="22"/>
          <w:szCs w:val="22"/>
        </w:rPr>
        <w:t xml:space="preserve">公司经营质量仍受到回款和客户集中度约束。截至2025年末，应收账款余额约48.67亿元，其中1年以上应收账款约27.12亿元；2025年经营活动现金流净额为-6.98亿元。2025年前五大客户销售占比56.46%，第一大客户占29.05%，而光伏收入占比超过九成，收入和现金流对光伏资本开支、客户验收及付款节奏较为敏感。2026年9月11日收盘价188.20元，对应市盈率约90.52倍，估值对未来业绩兑现及盈利预测调整较为敏感。</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300751</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迈为股份</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总部</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江苏省苏州市吴江区</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最新年度数据截至</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2025年12月31日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2025年营业收入结构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太阳能光伏收入约74.50亿元，占91.38%；半导体及显示收入约6.62亿元，占8.12%；其他行业收入约0.40亿元，占0.49%</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2025年产品收入结构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太阳能电池成套生产设备收入约60.25亿元，占73.91%；单机收入约17.18亿元，占21.07%；配件及其他收入约4.09亿元，占5.02%</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2025年光伏设备产销</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销售量13,922台，生产量3,830台，期末库存量1,062台；销售量同比下降30.27%，生产量同比下降75.35%，库存量同比增加172.31%</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产能信息</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年报未形成可直接读取的具体产能数字；“年产40条异质结太阳能电池片设备整线”属于项目规划口径，不等同于2025年实际产能或交付量</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主要技术平台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真空、激光、精密设备</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光伏设备：HJT异质结太阳能电池整线设备、全自动丝网印刷生产线、PECVD/PVD真空镀膜设备、自动上下片机、转接机、烧结炉、干燥炉、固化炉、检测测试及分选设备等；并向钙钛矿/硅异质结叠层电池设备延伸</w:t>
      </w:r>
    </w:p>
    <w:p>
      <w:pPr>
        <w:pStyle w:val="ListParagraph"/>
        <w:numPr>
          <w:ilvl w:val="0"/>
          <w:numId w:val="2"/>
        </w:numPr>
        <w:spacing w:after="80" w:line="280"/>
      </w:pPr>
      <w:r>
        <w:rPr>
          <w:sz w:val="22"/>
          <w:szCs w:val="22"/>
        </w:rPr>
        <w:t xml:space="preserve">半导体设备：前道高选择比刻蚀设备、原子层沉积设备；后道晶圆激光开槽、激光改质切割、刀轮切割、研磨研抛一体、键合及2.5D/3D封装设备</w:t>
      </w:r>
    </w:p>
    <w:p>
      <w:pPr>
        <w:pStyle w:val="ListParagraph"/>
        <w:numPr>
          <w:ilvl w:val="0"/>
          <w:numId w:val="2"/>
        </w:numPr>
        <w:spacing w:after="80" w:line="280"/>
      </w:pPr>
      <w:r>
        <w:rPr>
          <w:sz w:val="22"/>
          <w:szCs w:val="22"/>
        </w:rPr>
        <w:t xml:space="preserve">显示设备：OLED G6 Half激光切割、OLED弯折激光切割，以及Mini LED、Micro LED相关隐切、裂片、巨量转移、激光键合、激光剥离、激光修复和混合键合设备</w:t>
      </w:r>
    </w:p>
    <w:p>
      <w:pPr>
        <w:pStyle w:val="ListParagraph"/>
        <w:numPr>
          <w:ilvl w:val="0"/>
          <w:numId w:val="2"/>
        </w:numPr>
        <w:spacing w:after="80" w:line="280"/>
      </w:pPr>
      <w:r>
        <w:rPr>
          <w:sz w:val="22"/>
          <w:szCs w:val="22"/>
        </w:rPr>
        <w:t xml:space="preserve">配套服务：设备安装、调试、工艺适配及售后服务</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迈为股份位于光伏产业链中游偏前端的电池片制造装备环节，并向半导体前道、先进封装和显示装备延伸。公司不是上游资源型企业，也不是拥有终端品牌溢价的下游制造企业，而是依靠技术、工艺、设备集成和客户认证获取利润的技术密集型中游高端装备企业。</w:t>
      </w:r>
    </w:p>
    <w:p>
      <w:pPr>
        <w:pStyle w:val="ListParagraph"/>
        <w:numPr>
          <w:ilvl w:val="0"/>
          <w:numId w:val="2"/>
        </w:numPr>
        <w:spacing w:after="80" w:line="280"/>
      </w:pPr>
      <w:r>
        <w:rPr>
          <w:sz w:val="22"/>
          <w:szCs w:val="22"/>
        </w:rPr>
        <w:t xml:space="preserve">主要采购机械结构件、机加工件及钣金件，真空腔体及镀膜设备相关部件，激光器、光学元件及激光加工模块，电气控制件、运动控制件、传感器、工业软件及自动化部件，以及标准件、非标准件、外购设备、电子元器件、耗材和辅助材料。</w:t>
      </w:r>
    </w:p>
    <w:p>
      <w:pPr>
        <w:pStyle w:val="ListParagraph"/>
        <w:numPr>
          <w:ilvl w:val="0"/>
          <w:numId w:val="2"/>
        </w:numPr>
        <w:spacing w:after="80" w:line="280"/>
      </w:pPr>
      <w:r>
        <w:rPr>
          <w:sz w:val="22"/>
          <w:szCs w:val="22"/>
        </w:rPr>
        <w:t xml:space="preserve">标准件通常直接从市场采购，非标准件根据客户需求定制加工，部分非核心设备从外部供应商采购。2025年直接材料占营业成本84.07%，成本结构明显偏向材料和外协采购。</w:t>
      </w:r>
    </w:p>
    <w:p>
      <w:pPr>
        <w:pStyle w:val="ListParagraph"/>
        <w:numPr>
          <w:ilvl w:val="0"/>
          <w:numId w:val="2"/>
        </w:numPr>
        <w:spacing w:after="80" w:line="280"/>
      </w:pPr>
      <w:r>
        <w:rPr>
          <w:sz w:val="22"/>
          <w:szCs w:val="22"/>
        </w:rPr>
        <w:t xml:space="preserve">2025年前五名供应商采购金额约5.24亿元，占年度采购总额19.88%；第一大供应商江苏启威星装备科技有限公司采购金额约3.05亿元，占11.57%。公司持有江苏启威星30%的股份，年报认定其为关联方。</w:t>
      </w:r>
    </w:p>
    <w:p>
      <w:pPr>
        <w:pStyle w:val="ListParagraph"/>
        <w:numPr>
          <w:ilvl w:val="0"/>
          <w:numId w:val="2"/>
        </w:numPr>
        <w:spacing w:after="80" w:line="280"/>
      </w:pPr>
      <w:r>
        <w:rPr>
          <w:sz w:val="22"/>
          <w:szCs w:val="22"/>
        </w:rPr>
        <w:t xml:space="preserve">普通标准件供应商存在一定替代空间，公司议价能力可能主要来自采购规模和供应商替代；但对高精度、长交期、定制化零部件及关键激光、真空和控制模块，短期替代难度更高，公司整体对相关采购成本具有较强敏感性。</w:t>
      </w:r>
    </w:p>
    <w:p>
      <w:pPr>
        <w:pStyle w:val="ListParagraph"/>
        <w:numPr>
          <w:ilvl w:val="0"/>
          <w:numId w:val="2"/>
        </w:numPr>
        <w:spacing w:after="80" w:line="280"/>
      </w:pPr>
      <w:r>
        <w:rPr>
          <w:sz w:val="22"/>
          <w:szCs w:val="22"/>
        </w:rPr>
        <w:t xml:space="preserve">年报未披露完整原材料品类采购金额、单一关键供应商依赖程度及各类零部件成本占比，无法进一步准确计算某一类材料的成本权重。</w:t>
      </w:r>
    </w:p>
    <w:p>
      <w:pPr>
        <w:pStyle w:val="ListParagraph"/>
        <w:numPr>
          <w:ilvl w:val="0"/>
          <w:numId w:val="2"/>
        </w:numPr>
        <w:spacing w:after="80" w:line="280"/>
      </w:pPr>
      <w:r>
        <w:rPr>
          <w:sz w:val="22"/>
          <w:szCs w:val="22"/>
        </w:rPr>
        <w:t xml:space="preserve">下游客户包括光伏晶硅电池片和组件企业、半导体芯片制造及封测企业、OLED/Mini LED/Micro LED显示面板厂商。光伏长期合作客户包括隆基绿能、通威股份、天合光能、晶科能源、晶澳科技、阿特斯等；HJT领域还包括华晟新能源、欧昊新能源、印度信实工业等客户或客户体系。</w:t>
      </w:r>
    </w:p>
    <w:p>
      <w:pPr>
        <w:pStyle w:val="ListParagraph"/>
        <w:numPr>
          <w:ilvl w:val="0"/>
          <w:numId w:val="2"/>
        </w:numPr>
        <w:spacing w:after="80" w:line="280"/>
      </w:pPr>
      <w:r>
        <w:rPr>
          <w:sz w:val="22"/>
          <w:szCs w:val="22"/>
        </w:rPr>
        <w:t xml:space="preserve">2025年前五大客户销售金额约46.02亿元，占年度销售总额56.46%；第一大客户占29.05%，第二大客户占14.70%。公司仅以“客户1—客户5”匿名披露，无法将销售额与具体客户一一对应；该数据来自2025年年报，客户名称无法交叉核实，具体以公司后续定期报告和重大合同公告为准。</w:t>
      </w:r>
    </w:p>
    <w:p>
      <w:pPr>
        <w:pStyle w:val="ListParagraph"/>
        <w:numPr>
          <w:ilvl w:val="0"/>
          <w:numId w:val="2"/>
        </w:numPr>
        <w:spacing w:after="80" w:line="280"/>
      </w:pPr>
      <w:r>
        <w:rPr>
          <w:sz w:val="22"/>
          <w:szCs w:val="22"/>
        </w:rPr>
        <w:t xml:space="preserve">光伏设备通常采用直销和项目制交付，下游客户议价主要体现为设备价格和降本要求、性能与单位产能要求、验收条件及收入确认节奏、售后服务和工艺适配，以及付款周期和质保安排。客户扩产节奏、验收周期和资金状况会影响收入确认与现金流。</w:t>
      </w:r>
    </w:p>
    <w:p>
      <w:pPr>
        <w:pStyle w:val="ListParagraph"/>
        <w:numPr>
          <w:ilvl w:val="0"/>
          <w:numId w:val="2"/>
        </w:numPr>
        <w:spacing w:after="80" w:line="280"/>
      </w:pPr>
      <w:r>
        <w:rPr>
          <w:sz w:val="22"/>
          <w:szCs w:val="22"/>
        </w:rPr>
        <w:t xml:space="preserve">半导体和显示客户对设备精度、良率、稳定性、工艺兼容性和客户验证周期要求更高，公司相关业务仍处于客户导入、产品验证和订单放量阶段，认证进度可能造成短期收入波动。</w:t>
      </w:r>
    </w:p>
    <w:p>
      <w:pPr>
        <w:pStyle w:val="ListParagraph"/>
        <w:numPr>
          <w:ilvl w:val="0"/>
          <w:numId w:val="2"/>
        </w:numPr>
        <w:spacing w:after="80" w:line="280"/>
      </w:pPr>
      <w:r>
        <w:rPr>
          <w:sz w:val="22"/>
          <w:szCs w:val="22"/>
        </w:rPr>
        <w:t xml:space="preserve">公司2025年光伏收入占营业收入91.38%，光伏行业产能过剩、价格竞争和资本开支放缓使公司仍较依赖光伏周期；半导体及显示收入占比由2024年的0.68%提升至8.12%，但尚未完全抵消光伏周期风险。</w:t>
      </w:r>
    </w:p>
    <w:p>
      <w:pPr>
        <w:pStyle w:val="ListParagraph"/>
        <w:numPr>
          <w:ilvl w:val="0"/>
          <w:numId w:val="2"/>
        </w:numPr>
        <w:spacing w:after="80" w:line="280"/>
      </w:pPr>
      <w:r>
        <w:rPr>
          <w:sz w:val="22"/>
          <w:szCs w:val="22"/>
        </w:rPr>
        <w:t xml:space="preserve">截至2025年12月31日，应收账款账面余额约48.67亿元，较期初约43.11亿元增加约12.9%，约相当于2025年营业收入的59.7%和归母净利润的6.7倍；1年以上应收账款约27.12亿元，占期末应收账款约55.7%。2025年经营活动现金流净额为-6.98亿元，年报称主要受下游客户付款速度放缓及仍需按时支付部分上游中小供应商货款影响。应付账款期末约24.09亿元，低于应收账款48.67亿元，供应商信用不足以完全抵消下游回款占用。上述数据来自2025年年度报告。</w:t>
      </w:r>
    </w:p>
    <w:p>
      <w:pPr>
        <w:pStyle w:val="ListParagraph"/>
        <w:numPr>
          <w:ilvl w:val="0"/>
          <w:numId w:val="2"/>
        </w:numPr>
        <w:spacing w:after="80" w:line="280"/>
      </w:pPr>
      <w:r>
        <w:rPr>
          <w:sz w:val="22"/>
          <w:szCs w:val="22"/>
        </w:rPr>
        <w:t xml:space="preserve">供应端2025年前五大供应商采购金额占年度采购总额19.88%，整体集中度不高，但存在第一大关联供应商采购占比11.57%的情况。客户端2025年前五大客户销售占比56.46%，第一大客户占29.05%；客户名称匿名披露，数据来源为2025年年度报告，无法与具体客户逐一交叉核实，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38.30%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约20.77%</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光伏设备景气度较高，丝网印刷设备市场地位较强；研发降本、零部件国产替代和采购规模扩大改善成本结构。</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38.31%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约20.78%</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HJT设备订单增长、光伏设备需求旺盛，产品结构总体稳定；公司开始加大HJT整线项目投入。</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30.51%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约11.30%</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下游客户持续降本、光伏设备竞争加剧、阶段性产能过剩及丝网印刷整线毛利率下滑；HJT整线尚未充分形成规模效应。</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28.11%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约9.42%</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部分下游客户经营困难、订单执行放缓；HJT整线成为收入增长点，但较大额资产减值拖累净利润。</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38.61%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约8.86%</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境外高毛利HJT整线收入占比提升、产品结构改善及半导体和显示收入增加推高毛利率；但信用减值、资产减值、研发投入和回款压力使净利率未同步恢复。</w:t>
            </w:r>
          </w:p>
        </w:tc>
      </w:tr>
    </w:tbl>
    <w:p>
      <w:pPr>
        <w:spacing w:before="200"/>
      </w:pPr>
    </w:p>
    <w:p>
      <w:pPr>
        <w:spacing w:after="160" w:line="300"/>
      </w:pPr>
      <w:r>
        <w:rPr>
          <w:sz w:val="22"/>
          <w:szCs w:val="22"/>
        </w:rPr>
        <w:t xml:space="preserve">公司处于高端制造业技术密集型中游，介于上游资源型企业和下游品牌企业之间，利润主要来自HJT整线、丝网印刷设备、真空/激光/精密设备集成及海外项目的技术溢价。未来毛利率改善取决于海外HJT订单持续性、半导体及显示设备放量、钙钛矿叠层产业化、产品结构升级和成本控制，同时取决于应收账款及客户回款风险能否得到控制。</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2026年上半年（截至2026年6月30日，未经审计）</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29.0872亿元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同比下降30.95%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归母净利润2.5211亿元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同比下降35.99%</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2025年度（截至2025年12月31日）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81.5198亿元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同比下降17.07%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归母净利润7.2162亿元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同比下降22.06%</w:t>
            </w:r>
          </w:p>
        </w:tc>
      </w:tr>
    </w:tbl>
    <w:p>
      <w:pPr>
        <w:spacing w:after="200"/>
      </w:pPr>
      <w:r>
        <w:rPr>
          <w:i/>
          <w:iCs/>
          <w:color w:val="595959"/>
          <w:sz w:val="18"/>
          <w:szCs w:val="18"/>
        </w:rPr>
        <w:t xml:space="preserve">2026年半年度报告公告日期为2026年8月25日，未经审计，不等同于年度审计结果。2026年上半年扣非归母净利润为1.1538亿元，同比下降68.28%；基本每股收益为0.91元，同比下降35.46%；加权平均净资产收益率为3.14%，同比下降1.98个百分点。2025年度扣非归母净利润为6.9683亿元，同比下降16.76%；基本每股收益为2.59元，同比下降21.99%；加权平均净资产收益率为9.32%，同比下降3.24个百分点。</w:t>
      </w:r>
    </w:p>
    <w:p>
      <w:pPr>
        <w:spacing w:after="160" w:line="300"/>
      </w:pPr>
      <w:r>
        <w:rPr>
          <w:sz w:val="22"/>
          <w:szCs w:val="22"/>
        </w:rPr>
        <w:t xml:space="preserve">2026年上半年收入和归母净利润仍处于同比下滑状态，扣非净利润降幅明显大于归母净利润，归母净利润与扣非净利润差距较大，非经常性损益合计约1.3673亿元，利润对非经常性收益存在较明显依赖。二季度营业收入约15.72亿元，环比增长17.6%；归母净利润约1.34亿元，环比增长13.6%；但扣非归母净利润约0.38亿元，环比下降51.5%。业务结构方面，2026年上半年光伏行业收入约26.56亿元，同比下降34.67%，占营业收入约91.31%；半导体及显示行业收入约2.48亿元，同比增长94.66%，占比约8.53%；境外收入约19.84亿元，同比增长140.64%，占营业收入约68.21%。海外业务及半导体、显示设备业务增长较快，但光伏主业调整及扣非盈利承压仍是短期主要特征。2025年光伏行业收入74.4964亿元，同比下降23.45%，半导体及显示行业收入6.6204亿元，同比增长887.01%；境外收入28.7909亿元，同比增长320.19%。</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预测数据来自截至2026年9月11日同花顺F10汇总，2026年归母净利润和EPS均值对应17家机构，2028年对应15家机构。2026年收入预测区间约63.36亿至87.80亿元；2026年归母净利润预测区间约6.38亿至12.22亿元。机构收入预测部分列示了华源证券、中泰证券、国联民生、野村东方国际证券、华泰证券、国海证券、平安证券、东吴证券、国金证券和东北证券的数据。预测为机构一致预期或部分机构预测，不代表公司业绩承诺。</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机构预测均值约78.73亿元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归母净利润8.33亿元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较2025年实际值增长约15.42%</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2.97元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同花顺页面披露的部分机构预测为78.11亿至115.64亿元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归母净利润预测均值12.20亿元；预测区间9.33亿至18.16亿元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研究纪要未披露统一同比增速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4.36元；预测区间3.35至6.50元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同花顺页面披露的部分机构预测为90.26亿至156.13亿元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归母净利润预测均值17.58亿元；预测区间13.78亿至26.80亿元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研究纪要未披露统一同比增速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6.29元；预测区间4.94至9.59元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同花顺F10近6个月机构汇总</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8家买入、2家增持、1家跑赢行业、1家推荐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截至2026年4月28日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共12家机构发布研究报告；2026年归母净利润预测均值9.63亿元，区间7.07亿至11.02亿元；目标价均值225.74元，区间118元至382元。该数据早于2026年半年度报告披露。</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2026年4月29日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目标价上调至240元，以2027年估值为主要依据，目标价对应2027年预测市盈率约50.9倍。</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未披露具体评级；给出目标价267.38元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2026年8月26日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预测2026年至2028年归母净利润分别为7.84亿元、12.85亿元和16.05亿元，EPS分别为2.81元、4.61元和5.76元。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富途分析师统计</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75%强力推荐、25%买入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截至2026年9月3日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近三个月共有24位分析师参与评级；目标价平均值264.33元，最高305元，最低225.94元。该数据为第三方平台汇总。</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近期机构预测汇总</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未统一披露评级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截至2026年9月11日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华源证券、中泰证券、华泰证券、国海证券、国联民生和野村东方国际证券等机构披露了2026年至2028年归母净利润及EPS预测，预测结果存在较大差异。</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部分海外机构</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较低评级或采用较低估值倍数</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研究纪要未明确具体日期</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市场存在偏谨慎观点，反映机构对光伏设备周期、海外订单兑现速度及半导体业务放量节奏存在分歧。</w:t>
            </w:r>
          </w:p>
        </w:tc>
      </w:tr>
    </w:tbl>
    <w:p>
      <w:pPr>
        <w:spacing w:before="200"/>
      </w:pPr>
    </w:p>
    <w:p>
      <w:pPr>
        <w:spacing w:after="160" w:line="300"/>
      </w:pPr>
      <w:r>
        <w:rPr>
          <w:sz w:val="22"/>
          <w:szCs w:val="22"/>
        </w:rPr>
        <w:t xml:space="preserve">截至2026年9月11日收盘，股价188.20元，总市值约524.9亿元，市盈率TTM约90.52倍，市净率约6.60倍，每股净资产约28.43元，总股本约2.79亿股。中财网同期披露的扣非市盈率约117.03倍；理杏仁截至2026年9月10日显示市盈率约93.79倍、市净率约6.76倍，当前PE-TTM处于过去历史区间约90.91%分位。不同平台估值口径存在差异，可能与收盘时点、TTM利润口径、是否扣除非经常性损益及股本调整有关。按同花顺机构盈利预测均值计算，当前股价对应2026年、2027年和2028年预测PE分别约63.4倍、43.2倍和29.9倍；按国联民生预测，对应PE约82.2倍、53.0倍和38.1倍；按野村东方国际证券预测，对应PE约67.5倍、38.9倍和23.5倍。当前估值对盈利预测假设较为敏感，估值消化较大程度依赖2027年至2028年业绩兑现。机构目标价整体高于2026年9月11日收盘价，但不同平台目标价及评级差异明显，不能将第三方汇总评级视为单一市场共识。主要风险包括光伏行业资本开支恢复不及预期、海外订单确认和回款节奏、客户信用风险、非经常性收益减少、半导体设备业务放量不及预期，以及高估值下盈利预测下修风险。</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上海浩视减持计划期限届满，累计减持约16.54万股</w:t>
      </w:r>
    </w:p>
    <w:p>
      <w:pPr>
        <w:spacing w:after="160" w:line="300"/>
      </w:pPr>
      <w:r>
        <w:rPr>
          <w:sz w:val="22"/>
          <w:szCs w:val="22"/>
        </w:rPr>
        <w:t xml:space="preserve">2026年9月1日，公司披露《关于5%以上股东减持计划期限届满的公告》。上海浩视仪器科技有限公司在本轮减持期间合计减持约16.54万股，占公司流通股本约0.09%。其中，2026年6月25日至7月1日减持约8.79万股，成交均价约292.64元/股；2026年8月26日至8月31日减持约7.75万股，成交均价约221.94元/股。减持完成后，上海浩视持股约1,395.71万股。本次事项属于既有减持计划期限届满及实施结果披露，不属于新启动的大规模减持计划；减持具体数据最终以公司公告为准。</w:t>
      </w:r>
    </w:p>
    <w:p>
      <w:pPr>
        <w:pStyle w:val="Heading2"/>
        <w:spacing w:after="120" w:before="240"/>
      </w:pPr>
      <w:r>
        <w:rPr>
          <w:b/>
          <w:bCs/>
          <w:color w:val="2E74B5"/>
          <w:sz w:val="24"/>
          <w:szCs w:val="24"/>
        </w:rPr>
        <w:t xml:space="preserve">4.2 2026年第二次临时股东会审议通过半年度分红、关联交易及财务资助议案</w:t>
      </w:r>
    </w:p>
    <w:p>
      <w:pPr>
        <w:spacing w:after="160" w:line="300"/>
      </w:pPr>
      <w:r>
        <w:rPr>
          <w:sz w:val="22"/>
          <w:szCs w:val="22"/>
        </w:rPr>
        <w:t xml:space="preserve">2026年9月9日，公司召开2026年第二次临时股东会，2026年半年度利润分配预案、增加2026年度日常关联交易预计、为控股子公司提供财务资助等议案均获审议通过。关于财务资助议案，控股股东及实际控制人周剑、王正根及其一致行动人苏州迈拓创业投资合伙企业（有限合伙）合计持有的约1.103亿股回避表决，约占出席本次股东会股东所持股份的61.95%，议案获非关联股东高比例通过。本次可直接读取的公告摘要未完整披露财务资助金额和期限，相关具体信息缺失或不确定，不应以2024年曾披露的不超过5亿元、期限不超过24个月安排替代本次2026年议案。</w:t>
      </w:r>
    </w:p>
    <w:p>
      <w:pPr>
        <w:pStyle w:val="Heading2"/>
        <w:spacing w:after="120" w:before="240"/>
      </w:pPr>
      <w:r>
        <w:rPr>
          <w:b/>
          <w:bCs/>
          <w:color w:val="2E74B5"/>
          <w:sz w:val="24"/>
          <w:szCs w:val="24"/>
        </w:rPr>
        <w:t xml:space="preserve">4.3 2026年半年度现金分红方案获股东会通过</w:t>
      </w:r>
    </w:p>
    <w:p>
      <w:pPr>
        <w:spacing w:after="160" w:line="300"/>
      </w:pPr>
      <w:r>
        <w:rPr>
          <w:sz w:val="22"/>
          <w:szCs w:val="22"/>
        </w:rPr>
        <w:t xml:space="preserve">公司2026年半年度利润分配方案为每10股派发现金红利5元（含税），不送红股，不以资本公积金转增股本，以实施权益分派时扣除回购专用证券账户股份后的股本为基数。按截至2026年6月30日的股本情况测算，总股本为2.78901752亿股，扣除回购专用证券账户约50.526万股后，分红基数约为2.78396492亿股，预计派发现金红利约1.39198246亿元。该方案已于2026年9月9日审议通过。预计分红金额可能因权益分派实施前股本变化而调整，股权登记日、除权除息日及最终实际派发金额截至研究纪要未披露。</w:t>
      </w:r>
    </w:p>
    <w:p>
      <w:pPr>
        <w:pStyle w:val="Heading2"/>
        <w:spacing w:after="120" w:before="240"/>
      </w:pPr>
      <w:r>
        <w:rPr>
          <w:b/>
          <w:bCs/>
          <w:color w:val="2E74B5"/>
          <w:sz w:val="24"/>
          <w:szCs w:val="24"/>
        </w:rPr>
        <w:t xml:space="preserve">4.4 与参股公司江苏启威星的2026年度日常关联交易预计额度增至不超过6亿元</w:t>
      </w:r>
    </w:p>
    <w:p>
      <w:pPr>
        <w:spacing w:after="160" w:line="300"/>
      </w:pPr>
      <w:r>
        <w:rPr>
          <w:sz w:val="22"/>
          <w:szCs w:val="22"/>
        </w:rPr>
        <w:t xml:space="preserve">公司于2026年8月25日披露增加2026年度日常关联交易预计的公告，并于9月9日经临时股东会审议通过相关议案。公司持有江苏启威星装备科技有限公司30%股权，江苏启威星另外两名股东南通奥杰莱光电科技有限公司和江苏浩瀚芯拓半导体科技有限公司分别持股35%。公司预计2026年度与江苏启威星发生的关联交易上限由原预计约3亿元增加至不超过6亿元，交易主要涉及设备购销，江苏启威星的制绒清洗设备可与迈为股份自产设备配套，用于HJT整线设备销售。截至2026年6月30日，江苏启威星未经审计总资产约6.516亿元、净资产约9229.26万元；2026年上半年营业收入约2474.90万元，净利润亏损612.61万元。6亿元为交易预计上限，不等同于已实际发生的交易金额。</w:t>
      </w:r>
    </w:p>
    <w:p>
      <w:pPr>
        <w:pStyle w:val="Heading2"/>
        <w:spacing w:after="120" w:before="240"/>
      </w:pPr>
      <w:r>
        <w:rPr>
          <w:b/>
          <w:bCs/>
          <w:color w:val="2E74B5"/>
          <w:sz w:val="24"/>
          <w:szCs w:val="24"/>
        </w:rPr>
        <w:t xml:space="preserve">4.5 半导体装备研发制造基地取得项目用地，项目进入落地阶段</w:t>
      </w:r>
    </w:p>
    <w:p>
      <w:pPr>
        <w:spacing w:after="160" w:line="300"/>
      </w:pPr>
      <w:r>
        <w:rPr>
          <w:sz w:val="22"/>
          <w:szCs w:val="22"/>
        </w:rPr>
        <w:t xml:space="preserve">2026年8月28日，公司披露控股子公司宸微设备科技（苏州）有限公司签订国有建设用地使用权出让合同，推进半导体装备研发制造基地项目。项目计划投资总额约15亿元，计划用地约83亩，实际取得项目用地约55,404平方米，土地出让价款约2556.73万元，主要聚焦半导体生产领域智能化高端装备的研发、制造与销售。该项目此前于2026年3月披露投资协议，2026年8月取得土地使用权，项目由投资协议阶段进入土地取得和建设落地阶段。项目开工进度、建设周期、客户导入及产能利用率等信息截至研究纪要未确定。</w:t>
      </w:r>
    </w:p>
    <w:p>
      <w:pPr>
        <w:pStyle w:val="Heading2"/>
        <w:spacing w:after="120" w:before="240"/>
      </w:pPr>
      <w:r>
        <w:rPr>
          <w:b/>
          <w:bCs/>
          <w:color w:val="2E74B5"/>
          <w:sz w:val="24"/>
          <w:szCs w:val="24"/>
        </w:rPr>
        <w:t xml:space="preserve">4.6 2026年半年度业绩承压，海外收入及毛利率提升</w:t>
      </w:r>
    </w:p>
    <w:p>
      <w:pPr>
        <w:spacing w:after="160" w:line="300"/>
      </w:pPr>
      <w:r>
        <w:rPr>
          <w:sz w:val="22"/>
          <w:szCs w:val="22"/>
        </w:rPr>
        <w:t xml:space="preserve">2026年上半年，公司实现营业收入约29.09亿元，同比下降30.95%；归属于上市公司股东的净利润约2.52亿元，同比下降35.99%；扣除非经常性损益后的归母净利润约1.15亿元，同比下降68.28%。同期公司毛利率提升至48.46%，境外收入约19.84亿元，同比增长140.64%，境外收入占比约68.21%。公司表示，利润表现受到汇兑损失和资产减值等因素影响，若相关不利因素消除，利润表现可能改善；同时提示光伏行业仍处于周期低谷，订单能见度取决于行业周期和新技术突破。截至2026年9月12日，未检索到公司在2026年9月新披露的单独业绩预告或业绩预增、预减公告。</w:t>
      </w:r>
    </w:p>
    <w:p>
      <w:pPr>
        <w:pStyle w:val="Heading2"/>
        <w:spacing w:after="120" w:before="240"/>
      </w:pPr>
      <w:r>
        <w:rPr>
          <w:b/>
          <w:bCs/>
          <w:color w:val="2E74B5"/>
          <w:sz w:val="24"/>
          <w:szCs w:val="24"/>
        </w:rPr>
        <w:t xml:space="preserve">4.7 未发现2026年9月新启动的股份回购计划</w:t>
      </w:r>
    </w:p>
    <w:p>
      <w:pPr>
        <w:spacing w:after="160" w:line="300"/>
      </w:pPr>
      <w:r>
        <w:rPr>
          <w:sz w:val="22"/>
          <w:szCs w:val="22"/>
        </w:rPr>
        <w:t xml:space="preserve">截至2026年9月12日，未发现公司在2026年9月新启动股份回购计划或披露新的回购金额安排。2026年半年度报告披露，截至报告期公司回购专用证券账户持有约50.526万股；公司此前累计实施过两次股份回购，累计回购金额约2.28亿元。公司2026年上半年注销了此前回购、因满三年且暂无使用计划的503,254股。截至研究纪要披露时，未检索到新一轮股份回购预案或新增回购实施公告。</w:t>
      </w:r>
    </w:p>
    <w:p>
      <w:pPr>
        <w:pStyle w:val="Heading2"/>
        <w:spacing w:after="120" w:before="240"/>
      </w:pPr>
      <w:r>
        <w:rPr>
          <w:b/>
          <w:bCs/>
          <w:color w:val="2E74B5"/>
          <w:sz w:val="24"/>
          <w:szCs w:val="24"/>
        </w:rPr>
        <w:t xml:space="preserve">4.8 其他股东减持及股权质押情况</w:t>
      </w:r>
    </w:p>
    <w:p>
      <w:pPr>
        <w:spacing w:after="160" w:line="300"/>
      </w:pPr>
      <w:r>
        <w:rPr>
          <w:sz w:val="22"/>
          <w:szCs w:val="22"/>
        </w:rPr>
        <w:t xml:space="preserve">除上海浩视减持计划期限届满外，公开信息显示，2026年6月至7月吴江东运创业投资有限公司及部分董事、高管曾进行减持。2026年9月11日，迈为股份股权质押总股数约2400万股，质押比例约8.61%，质押笔数18笔。上述质押数据来自第三方行情和公告汇总平台，建议以公司最新定期报告、股权质押公告和中国结算数据进一步核对。</w:t>
      </w:r>
    </w:p>
    <w:p>
      <w:pPr>
        <w:pStyle w:val="Heading2"/>
        <w:spacing w:after="120" w:before="240"/>
      </w:pPr>
      <w:r>
        <w:rPr>
          <w:b/>
          <w:bCs/>
          <w:color w:val="2E74B5"/>
          <w:sz w:val="24"/>
          <w:szCs w:val="24"/>
        </w:rPr>
        <w:t xml:space="preserve">4.9 截至2026年9月12日未发现新的监管问询、行政处罚或重大合规处罚公告</w:t>
      </w:r>
    </w:p>
    <w:p>
      <w:pPr>
        <w:spacing w:after="160" w:line="300"/>
      </w:pPr>
      <w:r>
        <w:rPr>
          <w:sz w:val="22"/>
          <w:szCs w:val="22"/>
        </w:rPr>
        <w:t xml:space="preserve">截至2026年9月12日，按“迈为股份”“300751”“2026年9月”“监管问询”“行政处罚”“立案调查”“交易所监管”等关键词检索，未发现公司在2026年9月新披露的监管问询函、行政处罚、立案调查或重大合规处罚公告。该结果不等同于绝对不存在非公告形式的监管沟通，也不排除监管平台更新滞后，后续应以深圳证券交易所、巨潮资讯网和公司公告为准。</w:t>
      </w:r>
    </w:p>
    <w:p>
      <w:pPr>
        <w:pStyle w:val="Heading2"/>
        <w:spacing w:after="120" w:before="240"/>
      </w:pPr>
      <w:r>
        <w:rPr>
          <w:b/>
          <w:bCs/>
          <w:color w:val="2E74B5"/>
          <w:sz w:val="24"/>
          <w:szCs w:val="24"/>
        </w:rPr>
        <w:t xml:space="preserve">4.10 近期重点跟踪事项</w:t>
      </w:r>
    </w:p>
    <w:p>
      <w:pPr>
        <w:spacing w:after="160" w:line="300"/>
      </w:pPr>
      <w:r>
        <w:rPr>
          <w:sz w:val="22"/>
          <w:szCs w:val="22"/>
        </w:rPr>
        <w:t xml:space="preserve">后续需重点关注：上海浩视是否重新披露新的减持计划及其持股比例是否跌破5%；2026年半年度现金分红的股权登记日、除权除息日及实际派发金额；与江苏启威星关联交易的实际发生金额、交易毛利率、回款情况和应收账款变化；半导体装备研发制造基地的开工、建设进度、资本开支及客户导入情况；控股子公司财务资助的具体金额、期限、利率、资金用途及后续偿还情况；2026年三季报中光伏设备订单、海外收入、资产减值和经营现金流是否改善。</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股票简称/代码</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迈为股份（300751），深圳证券交易所创业板上市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最新收盘价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188.20元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-6.80元，-3.49%</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191.60元 / 191.99元 / 181.34元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约563.84万股，即约5.64百万股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约10.50亿元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2.92%</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近阶段价格区间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2026年8月11日至9月11日收盘价约170.24~225.80元，期间平均收盘价约198.14元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85.17~373.00元；当前收盘价较52周高点低约49.5%，较52周低点高约121.0%</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约524.89亿元 / 约362.94亿元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估值指标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市盈率约90.52倍，市净率约6.53倍；市盈率为行情页面披露口径</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近期成交额与换手率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近几个交易日成交额约6.9亿~13.8亿元，换手率约1.86%~3.60%；8月中下旬剧烈波动期间成交额明显放大</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MA5/MA10/MA20（截至2026年9月11日附近自行计算）</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约193.26元 / 199.79元 / 203.76元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收盘价188.20元低于三条均线，短期均线呈空头排列特征，价格仍处于短线调整状态。</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MA50/MA100/MA200（参考2026年9月4日第三方技术数据）</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约211.39元 / 198.95元 / 187.75元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股价低于MA50和MA100，接近MA200附近；该组数据并非2026年9月11日最新值。</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约-4.21，截至2026年9月4日</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第三方技术评级为“卖出”，技术页面整体评级为“强力卖出”。截至9月11日缺乏可交叉核实的最新MACD数值，不能将-4.21视为9月11日精确值。</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约47，截至2026年9月11日附近自行估算</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处于中性偏弱区间；Investing截至9月4日披露的RSI为26.534，两者存在差异，可能与抓取时间、复权方式、计算周期或最新K线不同有关。</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布林带（20日，自行计算）</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中轨约203.76元，上轨约228.8元，下轨约178.8元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收盘价位于中轨下方、下轨上方；当日最低价181.34元已明显接近下轨区域，短线波动加大且处于偏弱区间，但尚未有效跌破估算下轨。</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近期价格趋势</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8月18日收盘212.50元，9月11日收盘188.20元；8月31日阶段高点222.94元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自8月18日高点回落约11.4%，自8月31日阶段高点回落约15.6%，表现为冲高后快速回落，近期价格重心回到190元附近。</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主力资金净流向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截至2026年9月4日，8月31日至9月4日合计净流出约2.88亿元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9月1日净流出约1.95亿元，为阶段性资金压力主要来源；9月11日具体主力资金净流入或净流出金额未能从第二个可核实来源取得，不作推断。</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股东集中度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截至2026年6月30日，前十大股东累计持股约1.57亿股，占总股本56.25%；周剑与王正根一致行动人直接持股合计37.33%，通过苏州迈拓创业投资合伙企业实际控制约2.22%，合计约39.56%</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前十大股东中包括睿远成长价值混合A、香港中央结算有限公司、科威特政府投资局等机构或境外投资者，但持股主体仍主要是控股股东、管理层及产业资本。数据滞后于9月11日，实际筹码结构可能已变化。</w:t>
            </w:r>
          </w:p>
        </w:tc>
      </w:tr>
    </w:tbl>
    <w:p>
      <w:pPr>
        <w:spacing w:before="200"/>
      </w:pPr>
    </w:p>
    <w:p>
      <w:pPr>
        <w:spacing w:after="160" w:line="300"/>
      </w:pPr>
      <w:r>
        <w:rPr>
          <w:sz w:val="22"/>
          <w:szCs w:val="22"/>
        </w:rPr>
        <w:t xml:space="preserve">截至2026年9月11日，迈为股份收盘188.20元，单日下跌3.49%，成交额约10.50亿元、换手率2.92%。股价低于MA5、MA10和MA20，近期自8月中下旬高点快速回落，短线技术结构偏弱；同时股价已接近估算布林下轨，存在弱势震荡与技术性反抽并存的可能。主力资金截至9月4日连续多日以净流出为主，8月31日至9月4日合计净流出约2.88亿元。当前价格处于181~195.5元短线关键区间内，后续需结合支撑、压力与成交额变化观察走势，不能仅依据单一指标判断趋势。</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风险提示：以下内容仅为基于截至2026年9月11日收盘数据、历史价格和技术指标的主观情景推演，不构成投资建议，也不代表对未来走势的确定性判断。</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191~195.5元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191元附近对应9月11日盘中反弹高点及近期短线成交密集区，195元附近对应9月10日收盘价，195.5元附近接近第三方技术页面披露的经典枢轴点195.48元。若重新站稳并伴随成交额放大，可进一步观察198~202元区域；若多次冲击失败，上方抛压可能仍然存在。</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181~185元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181.34元为9月11日盘中低点，184.5元附近接近第三方技术页面截至9月4日披露的经典枢轴S3位置184.51元。若该区域失守，可能进一步测试布林下轨附近的178~180元区域。</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173~179元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173元附近对应8月13日收盘价及前期价格平台，178~179元附近接近自行计算的20日布林下轨和8月14日、8月17日前后的重要交易区域。若放量跌破，需进一步观察170元附近及52周区间内更低支撑，调整级别可能扩大。</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该权重为基于当前技术面和资金面的主观启发式判断，不是统计概率）：参考区间约181~195元。触发条件为股价在181~185元附近获得承接，但无法有效突破195~200元，成交额维持约7亿~11亿元的近期正常区间，且光伏设备、HJT或创业板整体没有明显单边行情。由于股价低于MA5、MA10和MA20但接近布林下轨，若量能未明显放大，可能表现为低位反复而非快速反转。</w:t>
      </w:r>
    </w:p>
    <w:p>
      <w:pPr>
        <w:pStyle w:val="ListParagraph"/>
        <w:numPr>
          <w:ilvl w:val="0"/>
          <w:numId w:val="2"/>
        </w:numPr>
        <w:spacing w:after="80" w:line="280"/>
      </w:pPr>
      <w:r>
        <w:rPr>
          <w:sz w:val="22"/>
          <w:szCs w:val="22"/>
        </w:rPr>
        <w:t xml:space="preserve">偏弱下行（权重中等；该权重为基于当前技术面和资金面的主观启发式判断，不是统计概率）：参考区间约170~181元。触发条件为股价放量跌破181~185元支撑区，单日成交额明显高于近期正常水平，同时主力资金继续净流出，或创业板、机械设备及光伏设备板块同步走弱。若181元附近失守，价格可能向178~180元布林下轨附近及173~175元前期平台寻求支撑；放量下跌需警惕抛压释放而非资金承接。</w:t>
      </w:r>
    </w:p>
    <w:p>
      <w:pPr>
        <w:pStyle w:val="ListParagraph"/>
        <w:numPr>
          <w:ilvl w:val="0"/>
          <w:numId w:val="2"/>
        </w:numPr>
        <w:spacing w:after="80" w:line="280"/>
      </w:pPr>
      <w:r>
        <w:rPr>
          <w:sz w:val="22"/>
          <w:szCs w:val="22"/>
        </w:rPr>
        <w:t xml:space="preserve">反弹走强（权重偏低；该权重为基于当前技术面和资金面的主观启发式判断，不是统计概率）：参考区间约195~205元。触发条件为股价先站回191~195.5元，再以成交额连续放大至12亿元以上的方式突破200元附近，同时板块情绪改善、主力资金由连续净流出转为连续净流入。若进一步收复约199.8元的MA10，短线弱势结构可能修复，下一观察区间为202~205元，即MA20附近；在放量突破前，反弹仍应视为技术性修复，而非趋势反转确认。</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换手率为2.92%，成交额约10.50亿元；近几个交易日成交额约6.9亿~13.8亿元，流动性尚可，正常交易日成交承接能力相对较强，但8月中下旬曾出现单日成交额超过20亿元的高换手交易，随后又快速回落，显示近期筹码交换和多空博弈明显加剧。股东集中度数据截至2026年6月30日，前十大股东持股比例为56.25%，实际控制人及一致行动人合计控制约39.56%；睿远成长价值混合A、香港中央结算有限公司、科威特政府投资局等出现在前十大股东中，但持股主体仍主要是控股股东、管理层及产业资本。该股东数据滞后于当前行情，不能据此判断截至9月11日机构仍维持相同持仓，实际筹码结构可能已经发生变化。</w:t>
      </w:r>
    </w:p>
    <w:p>
      <w:pPr>
        <w:spacing w:after="160" w:line="300"/>
      </w:pPr>
      <w:r>
        <w:rPr>
          <w:sz w:val="22"/>
          <w:szCs w:val="22"/>
        </w:rPr>
        <w:t xml:space="preserve">可检查的量价信号：若未来一周单日成交额连续达到12亿元以上，且收盘价重新站上195.5~200元区间，可视为反弹获得量能确认；若成交额放大至12亿元以上但收盘跌破181元，则更接近下行波动加剧信号。该信号为观察框架，不构成买卖指令。</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观察181~185元支撑区是否出现缩量止跌或放量破位。以上为观察思路，非操作指令。</w:t>
      </w:r>
    </w:p>
    <w:p>
      <w:pPr>
        <w:pStyle w:val="ListParagraph"/>
        <w:numPr>
          <w:ilvl w:val="0"/>
          <w:numId w:val="2"/>
        </w:numPr>
        <w:spacing w:after="80" w:line="280"/>
      </w:pPr>
      <w:r>
        <w:rPr>
          <w:sz w:val="22"/>
          <w:szCs w:val="22"/>
        </w:rPr>
        <w:t xml:space="preserve">观察191~195.5元压力区能否被有效收复。以上为观察思路，非操作指令。</w:t>
      </w:r>
    </w:p>
    <w:p>
      <w:pPr>
        <w:pStyle w:val="ListParagraph"/>
        <w:numPr>
          <w:ilvl w:val="0"/>
          <w:numId w:val="2"/>
        </w:numPr>
        <w:spacing w:after="80" w:line="280"/>
      </w:pPr>
      <w:r>
        <w:rPr>
          <w:sz w:val="22"/>
          <w:szCs w:val="22"/>
        </w:rPr>
        <w:t xml:space="preserve">观察股价是否重新站上约199.8元的10日均线和约203.8元的20日均线。以上为观察思路，非操作指令。</w:t>
      </w:r>
    </w:p>
    <w:p>
      <w:pPr>
        <w:pStyle w:val="ListParagraph"/>
        <w:numPr>
          <w:ilvl w:val="0"/>
          <w:numId w:val="2"/>
        </w:numPr>
        <w:spacing w:after="80" w:line="280"/>
      </w:pPr>
      <w:r>
        <w:rPr>
          <w:sz w:val="22"/>
          <w:szCs w:val="22"/>
        </w:rPr>
        <w:t xml:space="preserve">观察单日成交额能否连续放大至12亿元以上，并与价格上涨同步。以上为观察思路，非操作指令。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公司所处行业可分为光伏电池设备、泛半导体设备和显示设备三个层次。光伏设备行业正由大规模扩产转向技术迭代和结构性淘汰，受全球光伏装机和电池片产能升级驱动，但国内制造端存在产能过剩、价格竞争和资本开支放缓。半导体和显示设备技术壁垒、客户认证及工艺验证周期通常高于普通光伏设备，客户认证成功后产品生命周期和客户粘性可能更高，但研发投入和验证周期也更长。</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光伏电池设备竞争核心包括TOPCon、HJT、BC、钙钛矿等技术路线适配能力，设备效率、稳定性、良率、单位投资成本、与头部客户联合开发能力、交付及售后服务能力，以及海外交付和本地化服务能力。</w:t>
      </w:r>
    </w:p>
    <w:p>
      <w:pPr>
        <w:pStyle w:val="ListParagraph"/>
        <w:numPr>
          <w:ilvl w:val="0"/>
          <w:numId w:val="2"/>
        </w:numPr>
        <w:spacing w:after="80" w:line="280"/>
      </w:pPr>
      <w:r>
        <w:rPr>
          <w:sz w:val="22"/>
          <w:szCs w:val="22"/>
        </w:rPr>
        <w:t xml:space="preserve">光伏设备收入具有较强周期性，订单确认、设备出货和客户验收之间存在时间差；迈为股份在丝网印刷和HJT整线设备上具有较强竞争力，但收入仍高度依赖光伏行业。</w:t>
      </w:r>
    </w:p>
    <w:p>
      <w:pPr>
        <w:pStyle w:val="ListParagraph"/>
        <w:numPr>
          <w:ilvl w:val="0"/>
          <w:numId w:val="2"/>
        </w:numPr>
        <w:spacing w:after="80" w:line="280"/>
      </w:pPr>
      <w:r>
        <w:rPr>
          <w:sz w:val="22"/>
          <w:szCs w:val="22"/>
        </w:rPr>
        <w:t xml:space="preserve">泛半导体业务覆盖半导体前道、先进封装、Micro LED和OLED设备，公司正从光伏激光、真空和精密运动控制技术向相关领域迁移；相关业务仍处于客户验证、规模交付和产品放量阶段。</w:t>
      </w:r>
    </w:p>
    <w:p>
      <w:pPr>
        <w:pStyle w:val="ListParagraph"/>
        <w:numPr>
          <w:ilvl w:val="0"/>
          <w:numId w:val="2"/>
        </w:numPr>
        <w:spacing w:after="80" w:line="280"/>
      </w:pPr>
      <w:r>
        <w:rPr>
          <w:sz w:val="22"/>
          <w:szCs w:val="22"/>
        </w:rPr>
        <w:t xml:space="preserve">光伏设备并非单一同质化市场，不同企业分别在PECVD、LPCVD、激光加工、丝网印刷、晶体生长、切割、自动化和检测等环节具备优势。迈为股份在TOPCon热制程、晶体生长及组件自动化等细分领域面对不同竞争对手。</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捷佳伟创（300724）</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太阳能电池设备综合供应商，布局TOPCon、HJT、XBC、钙钛矿及叠层等路线，并拓展半导体、锂电和PCB设备。</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主要优势偏TOPCon及多技术路线平台化布局；与迈为股份竞争集中于高效电池整线及部分HJT、钙钛矿设备环节。</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拉普拉斯（688726）</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高效光伏电池片核心工艺设备及解决方案供应商，重点布局TOPCon相关LPCVD、热处理、镀膜及配套自动化设备。</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更偏TOPCon热制程和镀膜设备；与迈为股份在高效电池设备、镀膜设备和新型电池路线方面存在一定重叠。</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帝尔激光（300776）</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激光精密微纳加工解决方案及配套设备供应商，覆盖BC、TOPCon、HJT、钙钛矿和PERC等光伏路线。</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核心优势是精密激光加工；与迈为股份在HJT、钙钛矿及其他光伏激光工艺设备方面局部竞争，非全部业务同质化。</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金辰股份（603396）</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光伏电池及组件智能制造装备、自动化及系统集成企业。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与迈为股份重合于光伏电池及组件智能装备、整线自动化和系统集成；迈为股份更偏HJT整线、丝网印刷及真空设备，金辰股份在组件及自动化系统等环节具有差异化。</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晶盛机电（300316）</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半导体和光伏领域晶体生长、加工及相关设备企业，核心优势集中在单晶硅生长、硅片加工和晶体制造。</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并非最直接的同一工艺环节竞争对手；晶盛机电更靠近硅片和晶体制造，迈为股份更靠近电池片制造、先进封装和显示装备。</w:t>
            </w:r>
          </w:p>
        </w:tc>
      </w:tr>
    </w:tbl>
    <w:p>
      <w:pPr>
        <w:spacing w:before="200"/>
      </w:pPr>
    </w:p>
    <w:p>
      <w:pPr>
        <w:spacing w:after="160" w:line="300"/>
      </w:pPr>
      <w:r>
        <w:rPr>
          <w:sz w:val="22"/>
          <w:szCs w:val="22"/>
        </w:rPr>
        <w:t xml:space="preserve">迈为股份的相对优势在于丝网印刷设备、HJT整线设备、真空/激光/精密设备技术平台、从单机到整线的集成能力，以及头部光伏客户和海外交付基础。与捷佳伟创相比，公司更突出HJT整线、丝网印刷及真空和激光设备集成；与拉普拉斯相比，更偏HJT整线和丝网印刷而非TOPCon热制程；与帝尔激光相比，更偏整线集成、真空镀膜、丝网印刷和泛半导体装备。公司的主要制约因素是光伏收入占比仍超过九成、直接材料占营业成本约84%、前五大客户销售占比超过56%、应收账款及长期账龄较高，以及半导体和显示业务仍处于客户验证和放量阶段。</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光伏主业周期和客户资本开支风险：2026年上半年光伏收入同比下降34.67%，占营业收入约91.31%；若光伏行业产能过剩、价格竞争或客户扩产放缓持续，公司收入、订单和产能利用情况可能继续承压。</w:t>
      </w:r>
    </w:p>
    <w:p>
      <w:pPr>
        <w:pStyle w:val="ListParagraph"/>
        <w:numPr>
          <w:ilvl w:val="0"/>
          <w:numId w:val="2"/>
        </w:numPr>
        <w:spacing w:after="80" w:line="280"/>
      </w:pPr>
      <w:r>
        <w:rPr>
          <w:sz w:val="22"/>
          <w:szCs w:val="22"/>
        </w:rPr>
        <w:t xml:space="preserve">HJT技术路线及海外订单兑现风险：公司增长较依赖HJT整线及境外业务，但海外收入确认仍受项目交付、客户验收、付款节奏和汇兑因素影响；海外收入快速增长并不必然转化为同期稳定的经营现金流。</w:t>
      </w:r>
    </w:p>
    <w:p>
      <w:pPr>
        <w:pStyle w:val="ListParagraph"/>
        <w:numPr>
          <w:ilvl w:val="0"/>
          <w:numId w:val="2"/>
        </w:numPr>
        <w:spacing w:after="80" w:line="280"/>
      </w:pPr>
      <w:r>
        <w:rPr>
          <w:sz w:val="22"/>
          <w:szCs w:val="22"/>
        </w:rPr>
        <w:t xml:space="preserve">应收账款和回款风险：截至2025年末应收账款约48.67亿元，1年以上应收账款约27.12亿元，占比约55.7%；2025年经营活动现金流净额为-6.98亿元，若下游客户付款继续放缓，可能加大信用减值、现金流和营运资金压力。</w:t>
      </w:r>
    </w:p>
    <w:p>
      <w:pPr>
        <w:pStyle w:val="ListParagraph"/>
        <w:numPr>
          <w:ilvl w:val="0"/>
          <w:numId w:val="2"/>
        </w:numPr>
        <w:spacing w:after="80" w:line="280"/>
      </w:pPr>
      <w:r>
        <w:rPr>
          <w:sz w:val="22"/>
          <w:szCs w:val="22"/>
        </w:rPr>
        <w:t xml:space="preserve">客户集中度风险：2025年前五大客户销售占比56.46%，第一大客户占29.05%，且客户名称匿名披露，无法将销售额与具体客户逐一核实；主要客户订单、验收或付款变化可能对公司业绩产生较大影响。</w:t>
      </w:r>
    </w:p>
    <w:p>
      <w:pPr>
        <w:pStyle w:val="ListParagraph"/>
        <w:numPr>
          <w:ilvl w:val="0"/>
          <w:numId w:val="2"/>
        </w:numPr>
        <w:spacing w:after="80" w:line="280"/>
      </w:pPr>
      <w:r>
        <w:rPr>
          <w:sz w:val="22"/>
          <w:szCs w:val="22"/>
        </w:rPr>
        <w:t xml:space="preserve">盈利质量和减值风险：2026年上半年扣非归母净利润同比下降68.28%，明显低于归母净利润降幅；利润表现还受到资产减值、汇兑损失及非经常性收益影响，若相关收益减少或减值压力延续，归母利润可能继续弱于收入表现。</w:t>
      </w:r>
    </w:p>
    <w:p>
      <w:pPr>
        <w:pStyle w:val="ListParagraph"/>
        <w:numPr>
          <w:ilvl w:val="0"/>
          <w:numId w:val="2"/>
        </w:numPr>
        <w:spacing w:after="80" w:line="280"/>
      </w:pPr>
      <w:r>
        <w:rPr>
          <w:sz w:val="22"/>
          <w:szCs w:val="22"/>
        </w:rPr>
        <w:t xml:space="preserve">半导体及显示业务放量不及预期风险：相关收入虽快速增长，但占比仍约8.53%，业务仍处于客户导入、产品验证和规模交付阶段；若认证周期延长、良率或工艺适配不达预期，业务多元化对光伏周期的对冲作用可能低于预期。</w:t>
      </w:r>
    </w:p>
    <w:p>
      <w:pPr>
        <w:pStyle w:val="ListParagraph"/>
        <w:numPr>
          <w:ilvl w:val="0"/>
          <w:numId w:val="2"/>
        </w:numPr>
        <w:spacing w:after="80" w:line="280"/>
      </w:pPr>
      <w:r>
        <w:rPr>
          <w:sz w:val="22"/>
          <w:szCs w:val="22"/>
        </w:rPr>
        <w:t xml:space="preserve">关联交易及项目投资风险：公司与持股30%的江苏启威星2026年度日常关联交易预计上限增至不超过6亿元，而该参股公司2026年上半年处于亏损状态；同时半导体装备研发制造基地计划投资约15亿元，若关联交易实际发生额、交易毛利率、回款或项目建设及客户导入不及预期，可能影响资金使用效率和经营回报。</w:t>
      </w:r>
    </w:p>
    <w:p>
      <w:pPr>
        <w:pStyle w:val="ListParagraph"/>
        <w:numPr>
          <w:ilvl w:val="0"/>
          <w:numId w:val="2"/>
        </w:numPr>
        <w:spacing w:after="80" w:line="280"/>
      </w:pPr>
      <w:r>
        <w:rPr>
          <w:sz w:val="22"/>
          <w:szCs w:val="22"/>
        </w:rPr>
        <w:t xml:space="preserve">估值和股价波动风险：截至2026年9月11日，公司市盈率约90.52倍，扣非市盈率约117.03倍，股价低于短期多条均线且近期主力资金净流出；若2026年至2028年盈利预测下修或业绩兑现不及预期，估值和股价可能面临较大波动。</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迈为股份的中长期增长逻辑主要来自三方面：海外HJT整线项目延续、半导体及显示设备客户验证和规模放量，以及钙钛矿/叠层电池等新技术设备拓展。2026年上半年境外收入和半导体及显示收入保持较快增长，半导体装备研发制造基地也已取得项目用地，说明公司正在推进业务多元化和产能布局。不过，半导体及显示业务当前收入占比仍不足一成，客户导入、工艺验证、建设进度和订单放量仍需进一步验证。</w:t>
      </w:r>
    </w:p>
    <w:p>
      <w:pPr>
        <w:spacing w:after="160" w:line="300"/>
      </w:pPr>
      <w:r>
        <w:rPr>
          <w:sz w:val="22"/>
          <w:szCs w:val="22"/>
        </w:rPr>
        <w:t xml:space="preserve">短期业绩修复的关键不只是收入增长，还包括光伏行业资本开支是否恢复、海外订单能否顺利确认和回款、应收账款及资产减值压力能否缓解，以及高毛利业务能否保持。2026年上半年二季度收入环比增长，但扣非归母净利润环比下降，说明阶段性收入改善尚未充分转化为持续的经营性盈利。机构对2026年至2028年盈利预测存在较大差异，未来业绩兑现程度将直接影响估值消化。</w:t>
      </w:r>
    </w:p>
    <w:p>
      <w:pPr>
        <w:spacing w:after="160" w:line="300"/>
      </w:pPr>
      <w:r>
        <w:rPr>
          <w:sz w:val="22"/>
          <w:szCs w:val="22"/>
        </w:rPr>
        <w:t xml:space="preserve">技术面上，股价低于MA5、MA10和MA20，近期自阶段高点回落，主力资金截至9月4日合计净流出约2.88亿元，短期结构偏弱；同时股价接近估算布林下轨，存在弱势震荡和技术性修复并存的可能。后续可重点跟踪181—185元支撑区、191—195.5元压力区的量价表现，以及三季报中的光伏订单、海外收入、资产减值和经营现金流变化。</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https://static.cninfo.com.cn/finalpage/2026-04-28/1225211530.PDF — https://static.cninfo.com.cn/finalpage/2026-04-28/1225211530.PDF</w:t>
      </w:r>
    </w:p>
    <w:p>
      <w:pPr>
        <w:spacing w:after="200"/>
      </w:pPr>
      <w:r>
        <w:rPr>
          <w:i/>
          <w:iCs/>
          <w:color w:val="595959"/>
          <w:sz w:val="18"/>
          <w:szCs w:val="18"/>
        </w:rPr>
        <w:t xml:space="preserve">迈为股份：2021年净利润同比增加62.97%_中证网 — https://cs.com.cn/ssgs/gsxw/202203/t20220310_6249220.html?utm_source=openai</w:t>
      </w:r>
    </w:p>
    <w:p>
      <w:pPr>
        <w:spacing w:after="200"/>
      </w:pPr>
      <w:r>
        <w:rPr>
          <w:i/>
          <w:iCs/>
          <w:color w:val="595959"/>
          <w:sz w:val="18"/>
          <w:szCs w:val="18"/>
        </w:rPr>
        <w:t xml:space="preserve">公司公告_捷佳伟创：2025年年度报告摘要新浪财经_新浪网 — https://vip.stock.finance.sina.com.cn/corp/view/vCB_AllBulletinDetail.php?id=12205611&amp;utm_source=openai</w:t>
      </w:r>
    </w:p>
    <w:p>
      <w:pPr>
        <w:spacing w:after="200"/>
      </w:pPr>
      <w:r>
        <w:rPr>
          <w:i/>
          <w:iCs/>
          <w:color w:val="595959"/>
          <w:sz w:val="18"/>
          <w:szCs w:val="18"/>
        </w:rPr>
        <w:t xml:space="preserve">拉普拉斯新能源科技股份有限公司2025年年度报告 — https://static.cninfo.com.cn/finalpage/2026-04-24/1225170917.PDF?utm_source=openai</w:t>
      </w:r>
    </w:p>
    <w:p>
      <w:pPr>
        <w:spacing w:after="200"/>
      </w:pPr>
      <w:r>
        <w:rPr>
          <w:i/>
          <w:iCs/>
          <w:color w:val="595959"/>
          <w:sz w:val="18"/>
          <w:szCs w:val="18"/>
        </w:rPr>
        <w:t xml:space="preserve">武汉帝尔激光科技股份有限公司 2025 年年度报告全文 — https://static.cninfo.com.cn/finalpage/2026-03-31/1225055756.PDF?utm_source=openai</w:t>
      </w:r>
    </w:p>
    <w:p>
      <w:pPr>
        <w:spacing w:after="200"/>
      </w:pPr>
      <w:r>
        <w:rPr>
          <w:i/>
          <w:iCs/>
          <w:color w:val="595959"/>
          <w:sz w:val="18"/>
          <w:szCs w:val="18"/>
        </w:rPr>
        <w:t xml:space="preserve">https://disc.static.szse.cn/disc/disk03/finalpage/2026-08-25/697885bd-023f-4a37-a903-b69d4d267438.PDF — https://disc.static.szse.cn/disc/disk03/finalpage/2026-08-25/697885bd-023f-4a37-a903-b69d4d267438.PDF</w:t>
      </w:r>
    </w:p>
    <w:p>
      <w:pPr>
        <w:spacing w:after="200"/>
      </w:pPr>
      <w:r>
        <w:rPr>
          <w:i/>
          <w:iCs/>
          <w:color w:val="595959"/>
          <w:sz w:val="18"/>
          <w:szCs w:val="18"/>
        </w:rPr>
        <w:t xml:space="preserve">迈为股份(300751)：在手订单较年初增长88% 半导体及显示新品扩张__新浪财经_新浪网 — https://stock.finance.sina.com.cn/stock/go.php/vReport_Show/kind/lastest/rptid/841164605567/index.phtml</w:t>
      </w:r>
    </w:p>
    <w:p>
      <w:pPr>
        <w:spacing w:after="200"/>
      </w:pPr>
      <w:r>
        <w:rPr>
          <w:i/>
          <w:iCs/>
          <w:color w:val="595959"/>
          <w:sz w:val="18"/>
          <w:szCs w:val="18"/>
        </w:rPr>
        <w:t xml:space="preserve">迈为股份(300751) 盈利预测_F10_同花顺金融服务网 — https://basic.10jqka.com.cn/300751/worth.html?utm_source=openai</w:t>
      </w:r>
    </w:p>
    <w:p>
      <w:pPr>
        <w:spacing w:after="200"/>
      </w:pPr>
      <w:r>
        <w:rPr>
          <w:i/>
          <w:iCs/>
          <w:color w:val="595959"/>
          <w:sz w:val="18"/>
          <w:szCs w:val="18"/>
        </w:rPr>
        <w:t xml:space="preserve">迈为股份(300751)_公司公告_迈为股份：2025年度财务决算报告新浪财经_新浪网 — https://money.finance.sina.com.cn/corp/view/vCB_AllBulletinDetail.php?id=12225418&amp;stockid=300751&amp;utm_source=openai</w:t>
      </w:r>
    </w:p>
    <w:p>
      <w:pPr>
        <w:spacing w:after="200"/>
      </w:pPr>
      <w:r>
        <w:rPr>
          <w:i/>
          <w:iCs/>
          <w:color w:val="595959"/>
          <w:sz w:val="18"/>
          <w:szCs w:val="18"/>
        </w:rPr>
        <w:t xml:space="preserve">迈为股份(300751)_公司公告_迈为股份：2025年年度报告新浪财经_新浪网 — https://money.finance.sina.com.cn/corp/view/vCB_AllBulletinDetail.php?id=12225405&amp;stockid=300751&amp;utm_source=openai</w:t>
      </w:r>
    </w:p>
    <w:p>
      <w:pPr>
        <w:spacing w:after="200"/>
      </w:pPr>
      <w:r>
        <w:rPr>
          <w:i/>
          <w:iCs/>
          <w:color w:val="595959"/>
          <w:sz w:val="18"/>
          <w:szCs w:val="18"/>
        </w:rPr>
        <w:t xml:space="preserve">迈为股份(300751) 盈利预测_F10_同花顺金融服务网 — https://basic.10jqka.com.cn/300751/worth.html</w:t>
      </w:r>
    </w:p>
    <w:p>
      <w:pPr>
        <w:spacing w:after="200"/>
      </w:pPr>
      <w:r>
        <w:rPr>
          <w:i/>
          <w:iCs/>
          <w:color w:val="595959"/>
          <w:sz w:val="18"/>
          <w:szCs w:val="18"/>
        </w:rPr>
        <w:t xml:space="preserve">机构评级|华泰证券给予迈为股份“买入”评级 — https://stock.10jqka.com.cn/20260428/c676338518.shtml</w:t>
      </w:r>
    </w:p>
    <w:p>
      <w:pPr>
        <w:spacing w:after="200"/>
      </w:pPr>
      <w:r>
        <w:rPr>
          <w:i/>
          <w:iCs/>
          <w:color w:val="595959"/>
          <w:sz w:val="18"/>
          <w:szCs w:val="18"/>
        </w:rPr>
        <w:t xml:space="preserve">迈为股份(300751)：1Q26毛利率创新高 合同负债大幅回升__新浪财经_新浪网 — https://stock.finance.sina.com.cn/stock/go.php/vReport_Show/kind/search/rptid/830810266952/index.phtml?utm_source=openai</w:t>
      </w:r>
    </w:p>
    <w:p>
      <w:pPr>
        <w:spacing w:after="200"/>
      </w:pPr>
      <w:r>
        <w:rPr>
          <w:i/>
          <w:iCs/>
          <w:color w:val="595959"/>
          <w:sz w:val="18"/>
          <w:szCs w:val="18"/>
        </w:rPr>
        <w:t xml:space="preserve">迈为股份 (300751)股票预测和分析师评级 - 富途牛牛 — https://www.futunn.com/stock/300751-SZ/forecast?utm_source=openai</w:t>
      </w:r>
    </w:p>
    <w:p>
      <w:pPr>
        <w:spacing w:after="200"/>
      </w:pPr>
      <w:r>
        <w:rPr>
          <w:i/>
          <w:iCs/>
          <w:color w:val="595959"/>
          <w:sz w:val="18"/>
          <w:szCs w:val="18"/>
        </w:rPr>
        <w:t xml:space="preserve">花旗看衰迈为股份：盈利预测上调114%，评级为什么还是Sell_新浪财经_新浪网 — https://finance.sina.com.cn/stock/hkstock/marketalerts/2026-06-25/doc-inierayt7764184.shtml?utm_source=openai</w:t>
      </w:r>
    </w:p>
    <w:p>
      <w:pPr>
        <w:spacing w:after="200"/>
      </w:pPr>
      <w:r>
        <w:rPr>
          <w:i/>
          <w:iCs/>
          <w:color w:val="595959"/>
          <w:sz w:val="18"/>
          <w:szCs w:val="18"/>
        </w:rPr>
        <w:t xml:space="preserve">迈为股份(300751)_股票行情，行情首页_中财网 — https://quotewh.cfi.cn/quote_300751.html?utm_source=openai</w:t>
      </w:r>
    </w:p>
    <w:p>
      <w:pPr>
        <w:spacing w:after="200"/>
      </w:pPr>
      <w:r>
        <w:rPr>
          <w:i/>
          <w:iCs/>
          <w:color w:val="595959"/>
          <w:sz w:val="18"/>
          <w:szCs w:val="18"/>
        </w:rPr>
        <w:t xml:space="preserve">迈为股份(300751)_公司公告_迈为股份：2025年半年度报告新浪财经_新浪网 — https://money.finance.sina.com.cn/corp/view/vCB_AllBulletinDetail.php?id=11328429&amp;stockid=300751&amp;utm_source=openai</w:t>
      </w:r>
    </w:p>
    <w:p>
      <w:pPr>
        <w:spacing w:after="200"/>
      </w:pPr>
      <w:r>
        <w:rPr>
          <w:i/>
          <w:iCs/>
          <w:color w:val="595959"/>
          <w:sz w:val="18"/>
          <w:szCs w:val="18"/>
        </w:rPr>
        <w:t xml:space="preserve">迈为股份_ 个股日历 _ 东方财富网_ 数据频道 — https://data.eastmoney.com/stockcalendar/300751.html?utm_source=openai</w:t>
      </w:r>
    </w:p>
    <w:p>
      <w:pPr>
        <w:spacing w:after="200"/>
      </w:pPr>
      <w:r>
        <w:rPr>
          <w:i/>
          <w:iCs/>
          <w:color w:val="595959"/>
          <w:sz w:val="18"/>
          <w:szCs w:val="18"/>
        </w:rPr>
        <w:t xml:space="preserve">迈为股份(300751)_公司公告_迈为股份：2026年第二次临时股东会决议公告新浪财经_新浪网 — https://vip.stock.finance.sina.com.cn/corp/view/vCB_AllBulletinDetail.php?id=12592401&amp;stockid=300751&amp;utm_source=openai</w:t>
      </w:r>
    </w:p>
    <w:p>
      <w:pPr>
        <w:spacing w:after="200"/>
      </w:pPr>
      <w:r>
        <w:rPr>
          <w:i/>
          <w:iCs/>
          <w:color w:val="595959"/>
          <w:sz w:val="18"/>
          <w:szCs w:val="18"/>
        </w:rPr>
        <w:t xml:space="preserve">证券代码：300751  证券简称：迈为股份  公告编号：2024-016 — https://static.cninfo.com.cn/finalpage/2024-04-25/1219792092.PDF?utm_source=openai</w:t>
      </w:r>
    </w:p>
    <w:p>
      <w:pPr>
        <w:spacing w:after="200"/>
      </w:pPr>
      <w:r>
        <w:rPr>
          <w:i/>
          <w:iCs/>
          <w:color w:val="595959"/>
          <w:sz w:val="18"/>
          <w:szCs w:val="18"/>
        </w:rPr>
        <w:t xml:space="preserve">迈为股份(300751)_公司公告_迈为股份：关于公司2026年半年度利润分配预案的公告新浪财经_新浪网 — https://money.finance.sina.com.cn/corp/view/vCB_AllBulletinDetail.php?id=12524604&amp;stockid=300751&amp;utm_source=openai</w:t>
      </w:r>
    </w:p>
    <w:p>
      <w:pPr>
        <w:spacing w:after="200"/>
      </w:pPr>
      <w:r>
        <w:rPr>
          <w:i/>
          <w:iCs/>
          <w:color w:val="595959"/>
          <w:sz w:val="18"/>
          <w:szCs w:val="18"/>
        </w:rPr>
        <w:t xml:space="preserve">迈为股份(300751):增加公司2026年度日常关联交易预计- CFi.CN 中财网 — https://www.cfi.net.cn/p20260824002482.html?utm_source=openai</w:t>
      </w:r>
    </w:p>
    <w:p>
      <w:pPr>
        <w:spacing w:after="200"/>
      </w:pPr>
      <w:r>
        <w:rPr>
          <w:i/>
          <w:iCs/>
          <w:color w:val="595959"/>
          <w:sz w:val="18"/>
          <w:szCs w:val="18"/>
        </w:rPr>
        <w:t xml:space="preserve">迈为股份(300751)_公司公告_迈为股份：关于控股子公司签订国有土地使用权出让合同暨半导体装备研发制造基地项目投资进展公告新浪财经_新浪网 — https://vip.stock.finance.sina.com.cn/corp/view/vCB_AllBulletinDetail.php?id=12565587&amp;stockid=300751&amp;utm_source=openai</w:t>
      </w:r>
    </w:p>
    <w:p>
      <w:pPr>
        <w:spacing w:after="200"/>
      </w:pPr>
      <w:r>
        <w:rPr>
          <w:i/>
          <w:iCs/>
          <w:color w:val="595959"/>
          <w:sz w:val="18"/>
          <w:szCs w:val="18"/>
        </w:rPr>
        <w:t xml:space="preserve">苏州迈为科技股份有限公司2026年半年度报告全文 — https://disc.static.szse.cn/download/disc/disk03/finalpage/2026-08-25/697885bd-023f-4a37-a903-b69d4d267438.PDF?utm_source=openai</w:t>
      </w:r>
    </w:p>
    <w:p>
      <w:pPr>
        <w:spacing w:after="200"/>
      </w:pPr>
      <w:r>
        <w:rPr>
          <w:i/>
          <w:iCs/>
          <w:color w:val="595959"/>
          <w:sz w:val="18"/>
          <w:szCs w:val="18"/>
        </w:rPr>
        <w:t xml:space="preserve">迈为股份(300751)_公司公告_迈为股份：2026年8月25日投资者活动记录表新浪财经_新浪网 — https://money.finance.sina.com.cn/corp/view/vCB_AllBulletinDetail.php?id=12540520&amp;stockid=300751&amp;utm_source=openai</w:t>
      </w:r>
    </w:p>
    <w:p>
      <w:pPr>
        <w:spacing w:after="200"/>
      </w:pPr>
      <w:r>
        <w:rPr>
          <w:i/>
          <w:iCs/>
          <w:color w:val="595959"/>
          <w:sz w:val="18"/>
          <w:szCs w:val="18"/>
        </w:rPr>
        <w:t xml:space="preserve">迈为股份(300751)_公司公告_迈为股份：2026年半年度报告新浪财经_新浪网 — https://money.finance.sina.com.cn/corp/view/vCB_AllBulletinDetail.php?id=12524607&amp;stockid=300751&amp;utm_source=openai</w:t>
      </w:r>
    </w:p>
    <w:p>
      <w:pPr>
        <w:spacing w:after="200"/>
      </w:pPr>
      <w:r>
        <w:rPr>
          <w:i/>
          <w:iCs/>
          <w:color w:val="595959"/>
          <w:sz w:val="18"/>
          <w:szCs w:val="18"/>
        </w:rPr>
        <w:t xml:space="preserve">迈为股份(300751)_股票行情，行情首页_中财网 — https://quotejs.cfi.cn/quote_300751.html</w:t>
      </w:r>
    </w:p>
    <w:p>
      <w:pPr>
        <w:spacing w:after="200"/>
      </w:pPr>
      <w:r>
        <w:rPr>
          <w:i/>
          <w:iCs/>
          <w:color w:val="595959"/>
          <w:sz w:val="18"/>
          <w:szCs w:val="18"/>
        </w:rPr>
        <w:t xml:space="preserve">迈为股份(300751)_股票行情，行情首页_中财网 — https://quotejs.cfi.cn/quote_300751.html?utm_source=openai</w:t>
      </w:r>
    </w:p>
    <w:p>
      <w:pPr>
        <w:spacing w:after="200"/>
      </w:pPr>
      <w:r>
        <w:rPr>
          <w:i/>
          <w:iCs/>
          <w:color w:val="595959"/>
          <w:sz w:val="18"/>
          <w:szCs w:val="18"/>
        </w:rPr>
        <w:t xml:space="preserve">迈为股份(300751)股票历史数据:历史行情,价格,走势图表_英为财情Investing.com — https://cn.investing.com/equities/suzhou-maxwell-historical-data?utm_source=openai</w:t>
      </w:r>
    </w:p>
    <w:p>
      <w:pPr>
        <w:spacing w:after="200"/>
      </w:pPr>
      <w:r>
        <w:rPr>
          <w:i/>
          <w:iCs/>
          <w:color w:val="595959"/>
          <w:sz w:val="18"/>
          <w:szCs w:val="18"/>
        </w:rPr>
        <w:t xml:space="preserve">迈为股份(300751)股票最新价格行情,实时走势图,股价分析预测_英为财情Investing.com — https://cn.investing.com/equities/suzhou-maxwell?utm_source=openai</w:t>
      </w:r>
    </w:p>
    <w:p>
      <w:pPr>
        <w:spacing w:after="200"/>
      </w:pPr>
      <w:r>
        <w:rPr>
          <w:i/>
          <w:iCs/>
          <w:color w:val="595959"/>
          <w:sz w:val="18"/>
          <w:szCs w:val="18"/>
        </w:rPr>
        <w:t xml:space="preserve">迈为股份(300751)股票行情走势技术分析_未来预测_买卖操作建议_英为财情Investing.com — https://cn.investing.com/equities/suzhou-maxwell-technical</w:t>
      </w:r>
    </w:p>
    <w:p>
      <w:pPr>
        <w:spacing w:after="200"/>
      </w:pPr>
      <w:r>
        <w:rPr>
          <w:i/>
          <w:iCs/>
          <w:color w:val="595959"/>
          <w:sz w:val="18"/>
          <w:szCs w:val="18"/>
        </w:rPr>
        <w:t xml:space="preserve">迈为股份(300751)个股分析_牛叉诊股_同花顺财经 — https://doctor.10jqka.com.cn/300751/?utm_source=openai</w:t>
      </w:r>
    </w:p>
    <w:p>
      <w:pPr>
        <w:spacing w:after="200"/>
      </w:pPr>
      <w:r>
        <w:rPr>
          <w:i/>
          <w:iCs/>
          <w:color w:val="595959"/>
          <w:sz w:val="18"/>
          <w:szCs w:val="18"/>
        </w:rPr>
        <w:t xml:space="preserve">迈为股份(300751)股票信息 - 数据平台 — https://data.agoer.com/cms/Index/detail?id=300751&amp;utm_source=openai</w:t>
      </w:r>
    </w:p>
    <w:p>
      <w:pPr>
        <w:spacing w:after="200"/>
      </w:pPr>
      <w:r>
        <w:rPr>
          <w:i/>
          <w:iCs/>
          <w:color w:val="595959"/>
          <w:sz w:val="18"/>
          <w:szCs w:val="18"/>
        </w:rPr>
        <w:t xml:space="preserve">迈为股份(300751) 股东研究_F10_同花顺金融服务网 — https://basic.10jqka.com.cn/300751/holder.html</w:t>
      </w:r>
    </w:p>
    <w:p>
      <w:pPr>
        <w:spacing w:after="200"/>
      </w:pPr>
      <w:r>
        <w:rPr>
          <w:i/>
          <w:iCs/>
          <w:color w:val="595959"/>
          <w:sz w:val="18"/>
          <w:szCs w:val="18"/>
        </w:rPr>
        <w:t xml:space="preserve">本报告由AI基于公开渠道信息自动检索、整理并生成，信息截至 截至2026年9月11日收盘；股东结构数据截至2026年6月30日，主力资金流向最新可核实数据主要截至2026年9月4日，部分技术指标参考数据截至2026年9月4日。，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2026-09-13T12:25:59.295Z</dcterms:created>
  <dcterms:modified xsi:type="dcterms:W3CDTF">2026-09-13T12:25:59.295Z</dcterms:modified>
</cp:coreProperties>
</file>

<file path=docProps/custom.xml><?xml version="1.0" encoding="utf-8"?>
<Properties xmlns="http://schemas.openxmlformats.org/officeDocument/2006/custom-properties" xmlns:vt="http://schemas.openxmlformats.org/officeDocument/2006/docPropsVTypes"/>
</file>