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武汉帝尔激光科技股份有限公司（帝尔激光） (300776)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行业：智能制造装备及光伏激光精密加工设备</w:t>
      </w:r>
    </w:p>
    <w:p>
      <w:pPr>
        <w:jc w:val="center"/>
      </w:pPr>
      <w:r>
        <w:rPr>
          <w:color w:val="595959"/>
          <w:sz w:val="22"/>
          <w:szCs w:val="22"/>
        </w:rPr>
        <w:t xml:space="preserve">报告日期：2026年9月13日</w:t>
      </w:r>
    </w:p>
    <w:p>
      <w:pPr>
        <w:jc w:val="center"/>
      </w:pPr>
      <w:r>
        <w:rPr>
          <w:color w:val="595959"/>
          <w:sz w:val="20"/>
          <w:szCs w:val="20"/>
        </w:rPr>
        <w:t xml:space="preserve">截至2026年9月11日收盘；行情数据由数据平台于2026年9月11日16:15:51更新，部分技术指标数据截至2026年9月10日或更早日期，股东结构数据截至2026年6月30日。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帝尔激光当前经营仍高度依赖光伏激光设备，2026年上半年营业收入10.29亿元，同比下降12.02%；归母净利润3.06亿元，同比下降6.38%；扣非归母净利润2.71亿元，同比下降14.16%。同期光伏电池及组件激光设备收入9.50亿元，占营业收入约92.3%，表明光伏行业资本开支放缓和客户采购、交付及验收节奏变化，已对公司短期业绩形成压力；但经营活动现金流净额改善至3.59亿元，上年同期为净流出1.43亿元。</w:t>
      </w:r>
    </w:p>
    <w:p>
      <w:pPr>
        <w:spacing w:after="160" w:line="300"/>
      </w:pPr>
      <w:r>
        <w:rPr>
          <w:sz w:val="22"/>
          <w:szCs w:val="22"/>
        </w:rPr>
        <w:t xml:space="preserve">公司技术和客户验证壁垒仍是核心竞争力，覆盖BC、TOPCon、HJT、钙钛矿等光伏路线，并拥有122项发明专利授权、364项实用新型专利授权和216项软件著作权，研发人员占员工总数35.97%。2025年公司毛利率约46.57%、净利率约25.54%，光伏业务仍保持较高盈利水平。不过，半导体先进封装、TGV、新型显示和PCB等泛半导体业务目前仍处于出货、验证或早期商业化阶段，尚未形成规模化第二主业。</w:t>
      </w:r>
    </w:p>
    <w:p>
      <w:pPr>
        <w:spacing w:after="160" w:line="300"/>
      </w:pPr>
      <w:r>
        <w:rPr>
          <w:sz w:val="22"/>
          <w:szCs w:val="22"/>
        </w:rPr>
        <w:t xml:space="preserve">机构预测普遍预计公司2026年利润恢复增长，归母净利润平均预测约6.48亿元，较2025年增长约24.8%，2027年和2028年平均预测分别为7.93亿元和9.63亿元，增长逻辑主要来自BC设备需求恢复以及TGV、PCB、先进封装等业务放量。但截至2026年9月11日，公司股价109.09元，总市值约311.16亿元，静态或滚动市盈率约60倍，按一致预期计算的2026年动态市盈率约47—56倍，市场已对后续盈利恢复计入较高预期。</w:t>
      </w:r>
    </w:p>
    <w:p>
      <w:pPr>
        <w:spacing w:after="160" w:line="300"/>
      </w:pPr>
      <w:r>
        <w:rPr>
          <w:sz w:val="22"/>
          <w:szCs w:val="22"/>
        </w:rPr>
        <w:t xml:space="preserve">技术面上，股价较2026年6月底218元高点回撤约50%，9月11日收盘价低于MA5、MA10、MA20及布林中轨，近5个交易日主力资金净流出约6488.75万元，短期形态偏弱。104.70—107.60元为近期支撑观察区，112.40—115.50元为均线及成交密集区压力；MACD数据存在日期滞后，RSI约50.3处于中性区间，当前尚不足以确认趋势反转。</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300776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2008年4月25日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2019年5月17日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中国证监会行业分类中的专用设备制造业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20.33亿元，同比增长0.93%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2025年归属于上市公司股东的净利润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5.19亿元，同比下降1.59%</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2025年业务模式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全部采取直销模式；2024年分销收入占比为2.40%，2025年分销收入为零</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生产模式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以销定产为主，并对部分通用机型进行备货；公司年报未披露统一口径的设备设计产能或最大年产能</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生产及经营布局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已形成武汉、无锡、新加坡等生产及经营布局，并在武汉、无锡、以色列亚夫内和新加坡设有研发或技术布局</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技术与研发资源</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截至2025年12月31日，公司及子公司拥有122项发明专利授权、364项实用新型专利授权和216项软件著作权；研发人员487人，占员工总数35.97%</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光伏电池及组件激光设备：覆盖BC、TOPCon、HJT、钙钛矿、PERC等技术路线，包括激光微刻蚀、激光选择性减薄、激光隔离钝化、激光诱导烧结、激光转印、激光修复、激光划线、激光消融、激光掺杂以及组件激光焊接和整线系统等设备</w:t>
      </w:r>
    </w:p>
    <w:p>
      <w:pPr>
        <w:pStyle w:val="ListParagraph"/>
        <w:numPr>
          <w:ilvl w:val="0"/>
          <w:numId w:val="2"/>
        </w:numPr>
        <w:spacing w:after="80" w:line="280"/>
      </w:pPr>
      <w:r>
        <w:rPr>
          <w:sz w:val="22"/>
          <w:szCs w:val="22"/>
        </w:rPr>
        <w:t xml:space="preserve">半导体先进封装、新型显示及PCB设备：已布局TGV激光微孔设备，2025年完成晶圆级和板级玻璃基板通孔设备出货；同时推进高端PCB超快激光钻孔、半导体先进封装、新型显示及光源等设备开发</w:t>
      </w:r>
    </w:p>
    <w:p>
      <w:pPr>
        <w:pStyle w:val="ListParagraph"/>
        <w:numPr>
          <w:ilvl w:val="0"/>
          <w:numId w:val="2"/>
        </w:numPr>
        <w:spacing w:after="80" w:line="280"/>
      </w:pPr>
      <w:r>
        <w:rPr>
          <w:sz w:val="22"/>
          <w:szCs w:val="22"/>
        </w:rPr>
        <w:t xml:space="preserve">技术服务、维护及其他业务：2025年收入约2,920.69万元，占营业收入1.44%</w:t>
      </w:r>
    </w:p>
    <w:p>
      <w:pPr>
        <w:pStyle w:val="ListParagraph"/>
        <w:numPr>
          <w:ilvl w:val="0"/>
          <w:numId w:val="2"/>
        </w:numPr>
        <w:spacing w:after="80" w:line="280"/>
      </w:pPr>
      <w:r>
        <w:rPr>
          <w:sz w:val="22"/>
          <w:szCs w:val="22"/>
        </w:rPr>
        <w:t xml:space="preserve">2025年收入结构：光伏业务收入20.33亿元，占营业收入99.98%；其中光伏电池及组件激光设备收入20.04亿元，占营业收入98.55%；半导体先进封装和下一代显示激光设备收入约35.40万元，占营业收入约0.02%</w:t>
      </w:r>
    </w:p>
    <w:p>
      <w:pPr>
        <w:pStyle w:val="ListParagraph"/>
        <w:numPr>
          <w:ilvl w:val="0"/>
          <w:numId w:val="2"/>
        </w:numPr>
        <w:spacing w:after="80" w:line="280"/>
      </w:pPr>
      <w:r>
        <w:rPr>
          <w:sz w:val="22"/>
          <w:szCs w:val="22"/>
        </w:rPr>
        <w:t xml:space="preserve">区域收入结构：2025年中国大陆地区收入19.54亿元，占比96.11%；中国大陆以外地区收入约7,905.25万元，占比3.89%</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帝尔激光位于光伏产业链中上游的专用设备环节，主要为太阳能电池片和组件制造企业提供激光精密微纳加工设备及配套服务，不直接生产硅片、电池片或组件。当前公司仍高度聚焦光伏激光设备，半导体、TGV、新型显示和PCB业务处于出货、验证或早期商业化阶段，尚未形成规模化第二主业。</w:t>
      </w:r>
    </w:p>
    <w:p>
      <w:pPr>
        <w:pStyle w:val="ListParagraph"/>
        <w:numPr>
          <w:ilvl w:val="0"/>
          <w:numId w:val="2"/>
        </w:numPr>
        <w:spacing w:after="80" w:line="280"/>
      </w:pPr>
      <w:r>
        <w:rPr>
          <w:sz w:val="22"/>
          <w:szCs w:val="22"/>
        </w:rPr>
        <w:t xml:space="preserve">主要采购光学部件、机械部件、电控部件、气动部件、激光器、精密光学器件、智能相机、电机及其他组件。</w:t>
      </w:r>
    </w:p>
    <w:p>
      <w:pPr>
        <w:pStyle w:val="ListParagraph"/>
        <w:numPr>
          <w:ilvl w:val="0"/>
          <w:numId w:val="2"/>
        </w:numPr>
        <w:spacing w:after="80" w:line="280"/>
      </w:pPr>
      <w:r>
        <w:rPr>
          <w:sz w:val="22"/>
          <w:szCs w:val="22"/>
        </w:rPr>
        <w:t xml:space="preserve">激光器、精密光学器件和高精度机械件等核心零部件具有较强定制化属性，公司会参与核心模块设计和集成，并与国内外供应商建立长期合作关系。</w:t>
      </w:r>
    </w:p>
    <w:p>
      <w:pPr>
        <w:pStyle w:val="ListParagraph"/>
        <w:numPr>
          <w:ilvl w:val="0"/>
          <w:numId w:val="2"/>
        </w:numPr>
        <w:spacing w:after="80" w:line="280"/>
      </w:pPr>
      <w:r>
        <w:rPr>
          <w:sz w:val="22"/>
          <w:szCs w:val="22"/>
        </w:rPr>
        <w:t xml:space="preserve">采购模式为“基本库存＋订单采购”；单价较高或定制化程度较高的部件通常根据销售订单按需采购。</w:t>
      </w:r>
    </w:p>
    <w:p>
      <w:pPr>
        <w:pStyle w:val="ListParagraph"/>
        <w:numPr>
          <w:ilvl w:val="0"/>
          <w:numId w:val="2"/>
        </w:numPr>
        <w:spacing w:after="80" w:line="280"/>
      </w:pPr>
      <w:r>
        <w:rPr>
          <w:sz w:val="22"/>
          <w:szCs w:val="22"/>
        </w:rPr>
        <w:t xml:space="preserve">2025年光伏业务直接材料成本约9.11亿元，占光伏业务成本约83.03%；人工成本和制造费用分别约占7.65%和6.18%，成本结构以外购光学、机械、电控等部件为主。</w:t>
      </w:r>
    </w:p>
    <w:p>
      <w:pPr>
        <w:pStyle w:val="ListParagraph"/>
        <w:numPr>
          <w:ilvl w:val="0"/>
          <w:numId w:val="2"/>
        </w:numPr>
        <w:spacing w:after="80" w:line="280"/>
      </w:pPr>
      <w:r>
        <w:rPr>
          <w:sz w:val="22"/>
          <w:szCs w:val="22"/>
        </w:rPr>
        <w:t xml:space="preserve">2025年前五大供应商采购金额约5.42亿元，占年度采购总额65.67%；第一大供应商采购占比35.18%。该数据对应2025年年报披露，反映供应商集中度较高，但纪要未说明是否存在其他口径差异。</w:t>
      </w:r>
    </w:p>
    <w:p>
      <w:pPr>
        <w:pStyle w:val="ListParagraph"/>
        <w:numPr>
          <w:ilvl w:val="0"/>
          <w:numId w:val="2"/>
        </w:numPr>
        <w:spacing w:after="80" w:line="280"/>
      </w:pPr>
      <w:r>
        <w:rPr>
          <w:sz w:val="22"/>
          <w:szCs w:val="22"/>
        </w:rPr>
        <w:t xml:space="preserve">公司可通过规模采购、长期合作和供应商筛选改善供应稳定性，但核心激光器、精密光学器件和高精度部件存在技术依赖，公司对部分核心供应商并非绝对强势买方，整体对部分核心零部件成本具有较有限的议价能力。</w:t>
      </w:r>
    </w:p>
    <w:p>
      <w:pPr>
        <w:pStyle w:val="ListParagraph"/>
        <w:numPr>
          <w:ilvl w:val="0"/>
          <w:numId w:val="2"/>
        </w:numPr>
        <w:spacing w:after="80" w:line="280"/>
      </w:pPr>
      <w:r>
        <w:rPr>
          <w:sz w:val="22"/>
          <w:szCs w:val="22"/>
        </w:rPr>
        <w:t xml:space="preserve">下游主要为大中型光伏电池及组件制造企业，客户主要采用匿名方式披露，年报无法据此确认具体客户名称。</w:t>
      </w:r>
    </w:p>
    <w:p>
      <w:pPr>
        <w:pStyle w:val="ListParagraph"/>
        <w:numPr>
          <w:ilvl w:val="0"/>
          <w:numId w:val="2"/>
        </w:numPr>
        <w:spacing w:after="80" w:line="280"/>
      </w:pPr>
      <w:r>
        <w:rPr>
          <w:sz w:val="22"/>
          <w:szCs w:val="22"/>
        </w:rPr>
        <w:t xml:space="preserve">2025年前五大客户销售金额约13.55亿元，占年度销售总额66.66%；第一大客户占比25.45%，第二大客户占比17.70%。上述集中度数据对应2025年年报，客户名称未披露，纪要未提供其他年度可交叉核实数据，具体以最新年报为准。</w:t>
      </w:r>
    </w:p>
    <w:p>
      <w:pPr>
        <w:pStyle w:val="ListParagraph"/>
        <w:numPr>
          <w:ilvl w:val="0"/>
          <w:numId w:val="2"/>
        </w:numPr>
        <w:spacing w:after="80" w:line="280"/>
      </w:pPr>
      <w:r>
        <w:rPr>
          <w:sz w:val="22"/>
          <w:szCs w:val="22"/>
        </w:rPr>
        <w:t xml:space="preserve">公司与TOPCon、BC等技术路线的龙头企业保持合作，设备导入通常需要经过客户验证、产线匹配和批量验收，客户认证、工艺数据库和售后服务形成一定进入壁垒。</w:t>
      </w:r>
    </w:p>
    <w:p>
      <w:pPr>
        <w:pStyle w:val="ListParagraph"/>
        <w:numPr>
          <w:ilvl w:val="0"/>
          <w:numId w:val="2"/>
        </w:numPr>
        <w:spacing w:after="80" w:line="280"/>
      </w:pPr>
      <w:r>
        <w:rPr>
          <w:sz w:val="22"/>
          <w:szCs w:val="22"/>
        </w:rPr>
        <w:t xml:space="preserve">具备新技术路线工艺和客户验证优势时，设备企业可能拥有较强技术议价能力；但在光伏行业资本开支放缓或设备同质化加剧时，客户议价权可能增强，并可能压低设备价格、延长验收周期或调整采购节奏。</w:t>
      </w:r>
    </w:p>
    <w:p>
      <w:pPr>
        <w:pStyle w:val="ListParagraph"/>
        <w:numPr>
          <w:ilvl w:val="0"/>
          <w:numId w:val="2"/>
        </w:numPr>
        <w:spacing w:after="80" w:line="280"/>
      </w:pPr>
      <w:r>
        <w:rPr>
          <w:sz w:val="22"/>
          <w:szCs w:val="22"/>
        </w:rPr>
        <w:t xml:space="preserve">设备收入确认与客户交付、安装、调试和验收高度相关，订单规模不等于当期收入；2025年光伏设备销售量为932.5台，同比下降10.81%，生产量为495.5台，同比下降42.65%，公司解释与客户订单、验收节奏及TOPCon等路线扩产节奏有关。</w:t>
      </w:r>
    </w:p>
    <w:p>
      <w:pPr>
        <w:pStyle w:val="ListParagraph"/>
        <w:numPr>
          <w:ilvl w:val="0"/>
          <w:numId w:val="2"/>
        </w:numPr>
        <w:spacing w:after="80" w:line="280"/>
      </w:pPr>
      <w:r>
        <w:rPr>
          <w:sz w:val="22"/>
          <w:szCs w:val="22"/>
        </w:rPr>
        <w:t xml:space="preserve">截至2025年12月31日，合同负债为14.13亿元，较2024年末的17.61亿元下降；应付账款为1.85亿元，较2024年末的2.43亿元下降；经营活动现金流净额为1.16亿元，2024年为负1.64亿元。合同负债规模显著高于应付账款，体现设备业务较明显的客户预付款和项目制特征，有助于缓解资金占用，但合同负债下降仍需关注后续订单转化和收入确认节奏。年报披露了应收账款会计政策和信用风险管理，但当前纪要未提取出2025年末应收账款总额及应收账款周转天数，因此不对“应收账款占收入比例”作未经核实的推算。</w:t>
      </w:r>
    </w:p>
    <w:p>
      <w:pPr>
        <w:pStyle w:val="ListParagraph"/>
        <w:numPr>
          <w:ilvl w:val="0"/>
          <w:numId w:val="2"/>
        </w:numPr>
        <w:spacing w:after="80" w:line="280"/>
      </w:pPr>
      <w:r>
        <w:rPr>
          <w:sz w:val="22"/>
          <w:szCs w:val="22"/>
        </w:rPr>
        <w:t xml:space="preserve">公司上下游集中度均较高：2025年前五大客户占年度销售总额66.66%，前五大供应商占年度采购总额65.67%。客户集中度数据采用匿名客户披露，无法确认具体客户名称；供应商集中度及客户集中度均主要依据2025年年报，纪要未提供其他年度数据进行交叉核实，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约45.94%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约28.66%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营业收入16.09亿元，归母净利润4.61亿元；PERC等传统光伏激光设备仍有较强技术和客户基础，行业需求及设备盈利能力处于较好水平。</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约46.89%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约26.19%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收入20.14亿元，同比增长25.20%；归母净利润5.28亿元，同比增长14.40%。光伏设备验收增加，太阳能电池激光加工设备收入达到19.94亿元，TOPCon和BC等新技术路线设备导入改善产品结构，但收入增长快于净利润增长，费用和项目交付节奏对净利率形成一定影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约46.57%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约25.54%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业收入20.33亿元，同比增长0.93%；归母净利润5.19亿元，同比下降1.59%。光伏行业结构性产能过剩、资本开支放缓，光伏设备销售量和生产量下降，但BC、TOPCon等产品仍维持较高毛利，光伏业务毛利率较2024年下降0.36个百分点。</w:t>
            </w:r>
          </w:p>
        </w:tc>
      </w:tr>
    </w:tbl>
    <w:p>
      <w:pPr>
        <w:spacing w:before="200"/>
      </w:pPr>
    </w:p>
    <w:p>
      <w:pPr>
        <w:spacing w:after="160" w:line="300"/>
      </w:pPr>
      <w:r>
        <w:rPr>
          <w:sz w:val="22"/>
          <w:szCs w:val="22"/>
        </w:rPr>
        <w:t xml:space="preserve">公司处于光伏产业链中上游的高技术专用设备环节，属于精密激光工艺设备供应商，盈利水平高于一般机械设备制造业务，但并非上游资源企业或下游品牌企业。其利润主要由激光工艺、客户认证、设备稳定性和产品结构驱动；进一步提升盈利的关键在于BC/TOPCon等新路线设备放量、海外客户拓展，以及TGV、先进封装和高端PCB激光设备由早期出货转化为规模化收入。</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10.293955亿元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同比下降12.02%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归属于上市公司股东的净利润3.058443亿元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同比下降6.38%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20.3310亿元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同比增长0.93%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归属于上市公司股东的净利润5.1922亿元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同比下降1.59%</w:t>
            </w:r>
          </w:p>
        </w:tc>
      </w:tr>
    </w:tbl>
    <w:p>
      <w:pPr>
        <w:spacing w:after="200"/>
      </w:pPr>
      <w:r>
        <w:rPr>
          <w:i/>
          <w:iCs/>
          <w:color w:val="595959"/>
          <w:sz w:val="18"/>
          <w:szCs w:val="18"/>
        </w:rPr>
        <w:t xml:space="preserve">截至2026年6月30日，最新一期正式披露财报为2026年半年度报告，披露日期为2026年8月20日。2026年上半年扣除非经常性损益后的归母净利润为2.714624亿元，同比下降14.16%；基本每股收益1.11元，同比下降7.50%；加权平均净资产收益率7.30%，较上年同期下降1.71个百分点。同期销售毛利率约45.26%，同比下降约2.39个百分点；经营活动产生的现金流量净额为3.5853亿元，上年同期为净流出1.4312亿元。2025年全年基本每股收益约1.91元。</w:t>
      </w:r>
    </w:p>
    <w:p>
      <w:pPr>
        <w:spacing w:after="160" w:line="300"/>
      </w:pPr>
      <w:r>
        <w:rPr>
          <w:sz w:val="22"/>
          <w:szCs w:val="22"/>
        </w:rPr>
        <w:t xml:space="preserve">2026年上半年呈现收入下滑、利润降幅较小、现金流改善的特征。光伏电池及组件激光设备收入9.504195亿元，占营业收入约92.3%，同比下降17.77%，光伏主业仍占绝对主体；泛半导体业务收入规模尚小。收入及扣非净利润下降主要与光伏行业阶段性资本开支放缓、客户设备采购节奏变化，以及设备交付和收入确认节奏波动有关，不宜简单视作单季度趋势外推。</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11日，同花顺统计近6个月内共有16家机构对帝尔激光2026—2028年业绩进行预测。2027年和2028年营业收入平均值展示不完整，因此相关收入优先引用国联民生证券于2026年8月20日的具体预测，不作为严格的多机构一致预期。机构普遍预计2026年利润恢复增长，但预测区间较宽；2027—2028年盈利增长主要依赖BC电池设备需求恢复，以及TGV、PCB、先进封装等泛半导体业务逐步放量。</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机构预测平均值约24.72亿元；国联民生证券预测25.09亿元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机构预测归母净利润平均值6.48亿元，区间5.56亿—7.52亿元；国联民生证券6.39亿元；华泰证券6.32亿元；东吴证券6.8亿元；申万宏源5.56亿元；国金证券约6.5亿元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相较2025年归母净利润5.1922亿元，机构平均预测对应增长约24.8%；研究纪要未提供各券商预测的统一同比增速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机构预测平均值2.32元，区间1.95—2.74元；国联民生证券约2.24元；华泰证券2.22元；国金证券约2.27元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同花顺页面收入预测平均值展示不完整；国联民生证券预测30.24亿元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机构预测归母净利润平均值7.93亿元，区间6.70亿—10.22亿元；国联民生证券7.77亿元；华泰证券6.71亿元；东吴证券7.9亿元；申万宏源6.80亿元；国金证券约6.7亿元；中信建投6.80亿元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相较2026年机构平均预测6.48亿元，2027年机构平均预测增长约22.4%</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机构预测平均值2.84元，区间2.35—3.73元；国联民生证券约2.72元；华泰证券2.35元；国金证券约2.35元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同花顺页面收入预测平均值展示不完整；国联民生证券预测35.00亿元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机构预测归母净利润平均值9.63亿元，区间8.05亿—13.98亿元；国联民生证券9.19亿元；华泰证券8.05亿元；东吴证券9.0亿元；申万宏源8.24亿元；国金证券约8.4亿元；中信建投8.19亿元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相较2027年机构平均预测7.93亿元，2028年机构平均预测增长约21.4%</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机构预测平均值3.45元，区间2.82—5.10元；国联民生证券约3.22元；华泰证券2.82元；国金证券约2.96元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国联民生证券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预测2026—2028年营业收入分别为25.09亿元、30.24亿元和35.00亿元，归母净利润分别为6.39亿元、7.77亿元和9.19亿元，EPS分别约为2.24元、2.72元和3.22元。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2026年8月20日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预测2026—2028年归母净利润分别为6.32亿、6.71亿和8.05亿元，EPS分别为2.22元、2.35元和2.82元；基于2027年61倍市盈率，上调目标价至143.35元。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预测2026—2028年归母净利润分别为6.8亿、7.9亿和9.0亿元，对应当前市值的预测市盈率分别约为49倍、42倍和37倍。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申万宏源</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下调盈利预测后，预计2026—2028年归母净利润分别为5.56亿、6.80亿和8.24亿元，对应市盈率约58倍、48倍和39倍。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预测2026—2028年归母净利润分别约为6.5亿、6.7亿和8.4亿元，EPS分别约为2.27元、2.35元和2.96元。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中信建投</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研究纪要未明确具体日期</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首次覆盖并给予买入，给予2027年60倍市盈率，对应目标价142.80元；预测2026—2028年归母净利润为6.38亿、6.80亿和8.19亿元。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同花顺统计</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截至2026年9月11日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近6个月内共有16家机构给予买入评级，未统计到增持、中性、减持或卖出评级。</w:t>
            </w:r>
          </w:p>
        </w:tc>
      </w:tr>
    </w:tbl>
    <w:p>
      <w:pPr>
        <w:spacing w:before="200"/>
      </w:pPr>
    </w:p>
    <w:p>
      <w:pPr>
        <w:spacing w:after="160" w:line="300"/>
      </w:pPr>
      <w:r>
        <w:rPr>
          <w:sz w:val="22"/>
          <w:szCs w:val="22"/>
        </w:rPr>
        <w:t xml:space="preserve">截至2026年9月11日收盘，股价为109.09元，当日下跌2.90%，总市值约311.16亿元，市净率约6.31倍。同花顺显示静态市盈率约59.93倍；理杏仁较早的2026年9月10日数据显示市盈率约64.30倍、市净率约6.49倍。按收盘价和机构一致预期EPS计算，2026—2028年动态PE分别约47.0倍、38.4倍和31.6倍；按机构平均归母净利润预测计算，对应PE约48.0倍、39.2倍和32.3倍；按申万宏源预测，对应PE约56倍、46倍和38倍。整体来看，公司静态或TTM估值约60倍，2026年动态PE仍约47—56倍，估值处于较高水平。近期代表性目标价为华泰证券143.35元和中信建投142.80元，主要基于2027年约60—61倍市盈率；富途截至2026年7月9日统计的近三个月分析师目标价平均为111.36元，最高171.01元，最低73.08元，但其统计早于半年报披露，参考价值相对较低。当前估值核心支撑是2027—2028年盈利增长预期及泛半导体业务潜在第二增长曲线，若TGV、PCB或先进封装业务放量低于预期，40—60倍的远期市盈率可能面临压缩。</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董事会秘书增持计划实施进展</w:t>
      </w:r>
    </w:p>
    <w:p>
      <w:pPr>
        <w:spacing w:after="160" w:line="300"/>
      </w:pPr>
      <w:r>
        <w:rPr>
          <w:sz w:val="22"/>
          <w:szCs w:val="22"/>
        </w:rPr>
        <w:t xml:space="preserve">2026年9月4日，帝尔激光披露《关于公司董事会秘书增持计划实施进展暨时间过半的公告》。董事会秘书乔端原计划自2026年7月20日起3个月内，以集中竞价方式增持公司股份，金额不低于50万元，计划期限截至2026年10月19日，且不设价格区间。由于乔端尚未开通创业板交易权限，由其配偶沈鹏代为实施。截至2026年9月4日，累计增持2300股，成交均价119.50元/股，增持金额274,849元，占公司总股本约0.0008%，增持后持股2300股。增持计划实施时间已过半，公司表示后续仍将继续实施，但能否完成不低于50万元的计划金额取决于市场价格及交易情况。</w:t>
      </w:r>
    </w:p>
    <w:p>
      <w:pPr>
        <w:pStyle w:val="Heading2"/>
        <w:spacing w:after="120" w:before="240"/>
      </w:pPr>
      <w:r>
        <w:rPr>
          <w:b/>
          <w:bCs/>
          <w:color w:val="2E74B5"/>
          <w:sz w:val="24"/>
          <w:szCs w:val="24"/>
        </w:rPr>
        <w:t xml:space="preserve">4.2 2026年半年度业绩及利润分配</w:t>
      </w:r>
    </w:p>
    <w:p>
      <w:pPr>
        <w:spacing w:after="160" w:line="300"/>
      </w:pPr>
      <w:r>
        <w:rPr>
          <w:sz w:val="22"/>
          <w:szCs w:val="22"/>
        </w:rPr>
        <w:t xml:space="preserve">2026年8月20日，公司披露2026年半年度报告。2026年上半年营业收入10.29亿元，同比下降12.02%；归属于上市公司股东的净利润3.058亿元，同比下降6.38%；扣除非经常性损益后的净利润2.715亿元，同比下降14.16%；经营活动产生的现金流量净额3.585亿元，上年同期为-1.431亿元。公司2026年半年度不派发现金红利、不送红股、不以资本公积金转增股本。截至2026年9月13日，未发现公司在2026年9月单独发布新的2026年三季度业绩预告或业绩预警公告。</w:t>
      </w:r>
    </w:p>
    <w:p>
      <w:pPr>
        <w:pStyle w:val="Heading2"/>
        <w:spacing w:after="120" w:before="240"/>
      </w:pPr>
      <w:r>
        <w:rPr>
          <w:b/>
          <w:bCs/>
          <w:color w:val="2E74B5"/>
          <w:sz w:val="24"/>
          <w:szCs w:val="24"/>
        </w:rPr>
        <w:t xml:space="preserve">4.3 半年度减值计提及应收账款风险</w:t>
      </w:r>
    </w:p>
    <w:p>
      <w:pPr>
        <w:spacing w:after="160" w:line="300"/>
      </w:pPr>
      <w:r>
        <w:rPr>
          <w:sz w:val="22"/>
          <w:szCs w:val="22"/>
        </w:rPr>
        <w:t xml:space="preserve">2026年8月20日，公司披露半年度计提信用减值准备、资产减值准备公告。截至2026年6月30日，2026年上半年计提信用减值损失5,122.09万元，其中应收账款坏账损失5,780.34万元、应收票据坏账损失转回657.67万元、其他应收款坏账损失转回约0.58万元；同期计提资产减值损失662.92万元，包括存货跌价损失470.60万元、合同资产减值损失192.32万元。信用减值和资产减值合计5,785.01万元，公告披露称将减少2026年半年度利润总额5,785.01万元，相关金额未经会计师事务所审计。减值主要集中于应收账款坏账，回款及应收账款质量仍是需要关注的风险点。</w:t>
      </w:r>
    </w:p>
    <w:p>
      <w:pPr>
        <w:pStyle w:val="Heading2"/>
        <w:spacing w:after="120" w:before="240"/>
      </w:pPr>
      <w:r>
        <w:rPr>
          <w:b/>
          <w:bCs/>
          <w:color w:val="2E74B5"/>
          <w:sz w:val="24"/>
          <w:szCs w:val="24"/>
        </w:rPr>
        <w:t xml:space="preserve">4.4 控股股东、董事高管及股东询价转让</w:t>
      </w:r>
    </w:p>
    <w:p>
      <w:pPr>
        <w:spacing w:after="160" w:line="300"/>
      </w:pPr>
      <w:r>
        <w:rPr>
          <w:sz w:val="22"/>
          <w:szCs w:val="22"/>
        </w:rPr>
        <w:t xml:space="preserve">2026年7月6日至7月10日，公司控股股东、实际控制人李志刚，董事及高管彭新波，以及股东武汉速能企业管理合伙企业实施询价转让。初步转让价格为146.08元/股，拟转让股份数量约768.2万股，占公司总股本约2.6932%，占剔除回购专用证券账户后总股本约2.7033%。参与报价及申购的机构投资者共33家，受让股份后6个月内不得转让。本次交易不涉及公司控制权变化，也不通过集中竞价或大宗交易方式完成。2026年7月10日，李志刚减持约453.94万股，彭新波减持约199.97万股，武汉速能减持约114.2万股，相关股份由多家机构投资者受让。</w:t>
      </w:r>
    </w:p>
    <w:p>
      <w:pPr>
        <w:pStyle w:val="Heading2"/>
        <w:spacing w:after="120" w:before="240"/>
      </w:pPr>
      <w:r>
        <w:rPr>
          <w:b/>
          <w:bCs/>
          <w:color w:val="2E74B5"/>
          <w:sz w:val="24"/>
          <w:szCs w:val="24"/>
        </w:rPr>
        <w:t xml:space="preserve">4.5 公司股权质押情况</w:t>
      </w:r>
    </w:p>
    <w:p>
      <w:pPr>
        <w:spacing w:after="160" w:line="300"/>
      </w:pPr>
      <w:r>
        <w:rPr>
          <w:sz w:val="22"/>
          <w:szCs w:val="22"/>
        </w:rPr>
        <w:t xml:space="preserve">截至2026年9月11日，公开数据平台显示公司质押股份约130万股，质押比例约0.46%，质押笔数1笔。该信息来自行情数据平台股权质押快照，本次检索未找到对应的最新公司单独公告，仅建议作为辅助信息使用，不替代巨潮资讯网正式公告。</w:t>
      </w:r>
    </w:p>
    <w:p>
      <w:pPr>
        <w:pStyle w:val="Heading2"/>
        <w:spacing w:after="120" w:before="240"/>
      </w:pPr>
      <w:r>
        <w:rPr>
          <w:b/>
          <w:bCs/>
          <w:color w:val="2E74B5"/>
          <w:sz w:val="24"/>
          <w:szCs w:val="24"/>
        </w:rPr>
        <w:t xml:space="preserve">4.6 回购股份及权益分派安排</w:t>
      </w:r>
    </w:p>
    <w:p>
      <w:pPr>
        <w:spacing w:after="160" w:line="300"/>
      </w:pPr>
      <w:r>
        <w:rPr>
          <w:sz w:val="22"/>
          <w:szCs w:val="22"/>
        </w:rPr>
        <w:t xml:space="preserve">公司2026年半年度报告显示，截至报告期末，公司回购专用证券账户持有已回购股份约106.25万股。2026年6月实施2025年度权益分派时，该部分回购股份不参与分红；公司按剔除回购股份后的股份数向股东每10股派发现金红利3.90元。截至2026年9月13日，未发现公司在2026年9月新披露股份回购计划、回购进展公告或回购注销公告，现有回购股份主要体现为既有回购安排及后续权益分派处理。</w:t>
      </w:r>
    </w:p>
    <w:p>
      <w:pPr>
        <w:pStyle w:val="Heading2"/>
        <w:spacing w:after="120" w:before="240"/>
      </w:pPr>
      <w:r>
        <w:rPr>
          <w:b/>
          <w:bCs/>
          <w:color w:val="2E74B5"/>
          <w:sz w:val="24"/>
          <w:szCs w:val="24"/>
        </w:rPr>
        <w:t xml:space="preserve">4.7 H股发行上市相关制度安排</w:t>
      </w:r>
    </w:p>
    <w:p>
      <w:pPr>
        <w:spacing w:after="160" w:line="300"/>
      </w:pPr>
      <w:r>
        <w:rPr>
          <w:sz w:val="22"/>
          <w:szCs w:val="22"/>
        </w:rPr>
        <w:t xml:space="preserve">2026年8月20日，公司披露与H股发行上市后适用的《公司章程（草案）》修订事项，内容涉及H股发行上市后的公司治理、董事会秘书职责及信息披露安排。截至2026年9月13日，未确认公司已经完成H股发行上市，也未确认已经取得最终上市批准，相关事项仍不能表述为H股上市已经落地。</w:t>
      </w:r>
    </w:p>
    <w:p>
      <w:pPr>
        <w:pStyle w:val="Heading2"/>
        <w:spacing w:after="120" w:before="240"/>
      </w:pPr>
      <w:r>
        <w:rPr>
          <w:b/>
          <w:bCs/>
          <w:color w:val="2E74B5"/>
          <w:sz w:val="24"/>
          <w:szCs w:val="24"/>
        </w:rPr>
        <w:t xml:space="preserve">4.8 并购及重大资产重组信息</w:t>
      </w:r>
    </w:p>
    <w:p>
      <w:pPr>
        <w:spacing w:after="160" w:line="300"/>
      </w:pPr>
      <w:r>
        <w:rPr>
          <w:sz w:val="22"/>
          <w:szCs w:val="22"/>
        </w:rPr>
        <w:t xml:space="preserve">公司在2026年4月投资者关系活动中表示目前没有明确并购标的，如有相关事项将及时披露，并将综合考虑产业链契合度和协同效应。截至2026年9月13日，未检索到帝尔激光在2026年9月披露重大资产重组、收购资产、出售资产或对外并购公告。</w:t>
      </w:r>
    </w:p>
    <w:p>
      <w:pPr>
        <w:pStyle w:val="Heading2"/>
        <w:spacing w:after="120" w:before="240"/>
      </w:pPr>
      <w:r>
        <w:rPr>
          <w:b/>
          <w:bCs/>
          <w:color w:val="2E74B5"/>
          <w:sz w:val="24"/>
          <w:szCs w:val="24"/>
        </w:rPr>
        <w:t xml:space="preserve">4.9 监管及政策相关信息</w:t>
      </w:r>
    </w:p>
    <w:p>
      <w:pPr>
        <w:spacing w:after="160" w:line="300"/>
      </w:pPr>
      <w:r>
        <w:rPr>
          <w:sz w:val="22"/>
          <w:szCs w:val="22"/>
        </w:rPr>
        <w:t xml:space="preserve">截至2026年9月13日，未检索到帝尔激光被深圳证券交易所、中国证监会或其他监管机构采取纪律处分、监管措施或立案调查的最新公告。宏观层面，2026年市场监管部门继续强调支持依法合规的并购重组，同时强化经营者集中反垄断审查；目前没有证据显示帝尔激光已受到某项具体监管政策直接影响，或已据此启动具体并购交易。</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帝尔激光（300776），深圳证券交易所创业板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109.09元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涨跌额/涨跌幅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-3.26元/-2.90%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110.10元/110.73元/104.70元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约636.93万股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约6.87亿元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3.55%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约311.16亿元/约195.61亿元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约6.31倍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约56.21~218.00元；收盘价较52周高点回撤约50%，较52周低点上涨约94%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估值参考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理杏仁截至2026年9月10日披露滚动市盈率约64.30倍；按9月11日收盘价及TTM每股收益约1.82元估算，动态PE约59.9倍。该估算不等同于交易所实时口径。</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重新计算的MA5约112.40元、MA10约111.13元、MA20约114.01元；Investing截至9月10日快照显示MA5约113.10元、MA10约113.43元。页面曾披露截至8月19日MA20约122.83元、MA50约119.90元、MA200约135.06元，但不代表9月11日最新值。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9月11日收盘价109.09元低于MA5、MA10和MA20，短期价格处于均线下方，技术面偏弱；若不能收复111~114元区域，均线结构可能进一步转弱。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截至2026年9月10日的单一页面数据约为0.50，评级为“买入”；未取得9月11日收盘的DIF、DEA和MACD柱体完整数值。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数据存在页面刷新不同步及日期滞后，不能视为已交叉核实的最新指标。需观察DIF是否重新上穿DEA，并结合成交量放大及股价收复112~114元区域判断反弹动能。</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截至2026年9月10日10:05 GMT约为50.335；未取得9月11日收盘的独立来源RSI数值。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约50处于中性区间，既未超买也未超卖，表明前期大跌后存在技术修复但强势动能不足。若后续跌破40，短线弱势信号增强；重新站上55~60且成交量放大，才更接近反弹走强状态。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基于2026年8月17日至9月11日20个交易日收盘价自行测算：中轨约114.01元、上轨约125.57元、下轨约102.45元；20日收盘价标准差约5.78元。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109.09元位于布林中轨下方、下轨上方，距离下轨约6.64元，短线偏弱但尚未处于典型极端超卖位置。若重新站回114元附近，可能测试115~116元压力；若跌破104.70~102.45元区域，下行空间可能进一步打开。该测算未纳入盘中价格，且可能受复权口径影响。</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2026年8月17日至9月11日，股价由127.86元、130.10元一带回落至109.09元；8月19日单日跌幅11.10%，9月7日反弹6.17%，9月10日和11日连续回落。</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整体呈现快速冲高后大幅回撤、随后低位震荡反复的特征，短期上方抛压仍然存在。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截至2026年9月11日，近5个交易日主力资金净流入为-6488.75万元；8月下旬大单资金流向在净流入与净流出之间波动。</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短期资金面暂时偏谨慎，资金博弈较为剧烈。不同平台对“主力资金”的统计口径可能不同，相关金额不宜机械横向比较。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近期成交额与换手率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最近5个交易日成交额分别约为9.23亿元、6.97亿元、8.61亿元、5.37亿元和6.87亿元，平均约7.41亿元；换手率约2.65%~4.57%。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整体属于中等活跃水平，并非极低流动性小盘股。9月11日下跌且成交额高于9月10日，呈放量回落特征，但成交额尚未明显超过9月7日和9月9日的高量水平。</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股东集中度与筹码结构</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普通股股东53,760户，前十大股东合计持股约56.69%，前十大流通股东合计持有约5589.74万股、占流通股本约31.2%；第一大股东李志刚持股约38.24%。前十大股东中同时出现景顺长城基金相关资产管理计划、富国创新科技混合型证券投资基金、全国社保基金六零一组合及香港中央结算有限公司等。</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中报时点，较高控股股东持股与公募基金、社保等机构持仓并存；但股东户数较2026年3月31日的25,181户增加至53,760户，增加约113.49%，显示筹码较前一季度明显分散。股东数据存在季度滞后，不能完全代表2026年9月11日的最新筹码变化。</w:t>
            </w:r>
          </w:p>
        </w:tc>
      </w:tr>
    </w:tbl>
    <w:p>
      <w:pPr>
        <w:spacing w:before="200"/>
      </w:pPr>
    </w:p>
    <w:p>
      <w:pPr>
        <w:spacing w:after="160" w:line="300"/>
      </w:pPr>
      <w:r>
        <w:rPr>
          <w:sz w:val="22"/>
          <w:szCs w:val="22"/>
        </w:rPr>
        <w:t xml:space="preserve">帝尔激光在2026年6月底触及218.00元后明显回撤，9月11日收于109.09元，处于MA5、MA10和MA20下方 तथा布林中轨下方，短线技术形态偏弱。RSI截至9月10日约50.335，尚未进入超卖区间；MACD最新可读取数据存在日期滞后，暂不足以确认趋势反转。近期成交额维持在约5.37亿~9.23亿元，换手率约2.65%~4.57%，流动性处于中等活跃水平；近5日主力资金净流出约6488.75万元，需重点观察104.70~107.60元支撑、112.40~115.50元压力及量能是否同步改善。</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风险提示：以下内容仅为基于截至2026年9月11日收盘数据、历史价格和技术指标的主观情景推演，不构成投资建议，也不代表对未来价格的确定性预测。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112.40~115.50元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对应MA5约112.40元、MA10约111.13元、MA20及布林中轨约114.01元，以及近期113~115.50元成交密集区和116元附近反弹高点。若有效收复115.50元并伴随成交额明显放大，可能进一步测试120元附近前期波动区域。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104.70~107.60元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104.70元为2026年9月11日盘中低点，106.00~107.60元对应9月2日至9月4日低位成交区域。若连续收盘跌破104.70元，短线弱势可能延续。</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102.45~104.70元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102.45元附近为20日布林带测算下轨，104.70元为近期盘中低点。若有效跌破102.45元，下一观察区域转向100元整数关口及更低阶段性低点。</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至六成；该权重为基于当前技术形态、价格位置和资金流向的主观启发式判断，不是统计概率。）：价格区间约105~115元。触发条件为股价在104.70~107.60元获得支撑，成交额维持约5.5亿~8亿元，且没有新的明显利空消息；若不能突破115.50元但也未跌破104.70元，可能维持低位反复震荡。</w:t>
      </w:r>
    </w:p>
    <w:p>
      <w:pPr>
        <w:pStyle w:val="ListParagraph"/>
        <w:numPr>
          <w:ilvl w:val="0"/>
          <w:numId w:val="2"/>
        </w:numPr>
        <w:spacing w:after="80" w:line="280"/>
      </w:pPr>
      <w:r>
        <w:rPr>
          <w:sz w:val="22"/>
          <w:szCs w:val="22"/>
        </w:rPr>
        <w:t xml:space="preserve">偏弱下行（权重中等，约三成左右；该权重为主观启发式判断，不是统计概率。）：价格区间约100~106元。触发条件为有效跌破104.70元，同时单日成交额放大、主力资金继续净流出，或光伏设备及创业板成长股整体走弱；若进一步跌破102.45元布林下轨，短线可能向100元整数关口寻找支撑。</w:t>
      </w:r>
    </w:p>
    <w:p>
      <w:pPr>
        <w:pStyle w:val="ListParagraph"/>
        <w:numPr>
          <w:ilvl w:val="0"/>
          <w:numId w:val="2"/>
        </w:numPr>
        <w:spacing w:after="80" w:line="280"/>
      </w:pPr>
      <w:r>
        <w:rPr>
          <w:sz w:val="22"/>
          <w:szCs w:val="22"/>
        </w:rPr>
        <w:t xml:space="preserve">反弹走强（权重偏低，约一成至两成；该权重为主观启发式判断，不是统计概率。）：价格区间约114~120元。触发条件为重新站上112.40~114.00元均线及布林中轨区域，单日成交额超过8.5亿元并连续两个交易日维持放量，同时主力资金由净流出转为净流入；进一步突破115.50元将提高技术确认程度。缺乏量能配合时，单日冲高仍可能只是弱反弹。</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日换手率3.55%，成交额6.87亿元；最近5个交易日成交额约5.37亿~9.23亿元，平均约7.41亿元，换手率约2.65%~4.57%。近5日主力资金净流入为-6488.75万元。股东结构数据截至2026年6月30日：股东户数53,760户，前十大股东合计持股约56.69%，前十大流通股东合计持有约31.2%的流通股；其中既有控股股东及其他股东，也有景顺长城基金相关资产管理计划、富国创新科技混合型证券投资基金、全国社保基金六零一组合及香港中央结算有限公司等机构持仓。由于股东数据距当前行情已有两个多月，筹码结构可能已经变化。结合总市值超过300亿元及日成交额约5亿~9亿元，当前不存在明显极端低流动性特征，但股价快速波动阶段仍可能出现较大滑点和盘口承接差异。</w:t>
      </w:r>
    </w:p>
    <w:p>
      <w:pPr>
        <w:spacing w:after="160" w:line="300"/>
      </w:pPr>
      <w:r>
        <w:rPr>
          <w:sz w:val="22"/>
          <w:szCs w:val="22"/>
        </w:rPr>
        <w:t xml:space="preserve">可检查的量能确认信号：若后续单日成交额连续放大至8.5亿元以上，且股价同步站上114~115.50元区间，可作为短线资金重新介入的观察信号；若放量但股价继续跌破104.70元，则更接近放量派发或风险释放信号。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观察104.70~107.60元支撑区能否有效承接；若跌破104.70元并进一步接近102.45元，关注下行风险。以上为观察思路，非操作指令。</w:t>
      </w:r>
    </w:p>
    <w:p>
      <w:pPr>
        <w:pStyle w:val="ListParagraph"/>
        <w:numPr>
          <w:ilvl w:val="0"/>
          <w:numId w:val="2"/>
        </w:numPr>
        <w:spacing w:after="80" w:line="280"/>
      </w:pPr>
      <w:r>
        <w:rPr>
          <w:sz w:val="22"/>
          <w:szCs w:val="22"/>
        </w:rPr>
        <w:t xml:space="preserve">观察股价能否收复112.40~114.00元均线和布林中轨区域。以上为观察思路，非操作指令。</w:t>
      </w:r>
    </w:p>
    <w:p>
      <w:pPr>
        <w:pStyle w:val="ListParagraph"/>
        <w:numPr>
          <w:ilvl w:val="0"/>
          <w:numId w:val="2"/>
        </w:numPr>
        <w:spacing w:after="80" w:line="280"/>
      </w:pPr>
      <w:r>
        <w:rPr>
          <w:sz w:val="22"/>
          <w:szCs w:val="22"/>
        </w:rPr>
        <w:t xml:space="preserve">观察115.50元附近压力位突破时是否有成交额配合，并关注连续放量至8.5亿元以上的情况。以上为观察思路，非操作指令。</w:t>
      </w:r>
    </w:p>
    <w:p>
      <w:pPr>
        <w:pStyle w:val="ListParagraph"/>
        <w:numPr>
          <w:ilvl w:val="0"/>
          <w:numId w:val="2"/>
        </w:numPr>
        <w:spacing w:after="80" w:line="280"/>
      </w:pPr>
      <w:r>
        <w:rPr>
          <w:sz w:val="22"/>
          <w:szCs w:val="22"/>
        </w:rPr>
        <w:t xml:space="preserve">观察主力资金是否由近5日净流出转向净流入，以及放量上涨或放量下跌的价格配合关系。以上为观察思路，非操作指令。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帝尔激光所在行业可分为智能制造装备和工业激光设备、光伏电池及组件专用设备、光伏激光工艺设备三个层次。行业竞争围绕TOPCon、BC、HJT、钙钛矿等技术路线展开，核心评价维度包括转换效率、良率、产能、稳定性和单位投资成本。光伏激光设备细分领域的主要壁垒包括激光工艺积累、客户验证、设备稳定性、规模交付和售后服务。</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智能制造装备和工业激光设备行业参与者较多，包括大族激光、华工科技、海目星、联赢激光、宏石激光等综合或专用激光设备企业。</w:t>
      </w:r>
    </w:p>
    <w:p>
      <w:pPr>
        <w:pStyle w:val="ListParagraph"/>
        <w:numPr>
          <w:ilvl w:val="0"/>
          <w:numId w:val="2"/>
        </w:numPr>
        <w:spacing w:after="80" w:line="280"/>
      </w:pPr>
      <w:r>
        <w:rPr>
          <w:sz w:val="22"/>
          <w:szCs w:val="22"/>
        </w:rPr>
        <w:t xml:space="preserve">光伏电池及组件专用设备竞争围绕TOPCon、BC、HJT、钙钛矿等技术路线展开，设备商需在转换效率、良率、产能、稳定性和单位投资成本之间取得平衡。</w:t>
      </w:r>
    </w:p>
    <w:p>
      <w:pPr>
        <w:pStyle w:val="ListParagraph"/>
        <w:numPr>
          <w:ilvl w:val="0"/>
          <w:numId w:val="2"/>
        </w:numPr>
        <w:spacing w:after="80" w:line="280"/>
      </w:pPr>
      <w:r>
        <w:rPr>
          <w:sz w:val="22"/>
          <w:szCs w:val="22"/>
        </w:rPr>
        <w:t xml:space="preserve">2025年光伏行业存在结构性产能过剩，行业竞争激烈；BC路线扩产、TOPCon升级改造和新组件加工技术仍可带来设备需求。</w:t>
      </w:r>
    </w:p>
    <w:p>
      <w:pPr>
        <w:pStyle w:val="ListParagraph"/>
        <w:numPr>
          <w:ilvl w:val="0"/>
          <w:numId w:val="2"/>
        </w:numPr>
        <w:spacing w:after="80" w:line="280"/>
      </w:pPr>
      <w:r>
        <w:rPr>
          <w:sz w:val="22"/>
          <w:szCs w:val="22"/>
        </w:rPr>
        <w:t xml:space="preserve">TOPCon仍是主流量产路线之一，设备需求主要集中在升级、改造和降本增效；BC等新型高效电池路线带来激光微刻蚀和图形化设备需求。</w:t>
      </w:r>
    </w:p>
    <w:p>
      <w:pPr>
        <w:pStyle w:val="ListParagraph"/>
        <w:numPr>
          <w:ilvl w:val="0"/>
          <w:numId w:val="2"/>
        </w:numPr>
        <w:spacing w:after="80" w:line="280"/>
      </w:pPr>
      <w:r>
        <w:rPr>
          <w:sz w:val="22"/>
          <w:szCs w:val="22"/>
        </w:rPr>
        <w:t xml:space="preserve">HJT由迈为股份等企业在整线设备领域占据较强地位，帝尔激光更多参与激光工艺设备和相关细分环节竞争。</w:t>
      </w:r>
    </w:p>
    <w:p>
      <w:pPr>
        <w:pStyle w:val="ListParagraph"/>
        <w:numPr>
          <w:ilvl w:val="0"/>
          <w:numId w:val="2"/>
        </w:numPr>
        <w:spacing w:after="80" w:line="280"/>
      </w:pPr>
      <w:r>
        <w:rPr>
          <w:sz w:val="22"/>
          <w:szCs w:val="22"/>
        </w:rPr>
        <w:t xml:space="preserve">TGV、高端PCB超快激光和Micro LED属于新兴市场，但帝尔激光相关收入规模仍很小，处于商业化早期。</w:t>
      </w:r>
    </w:p>
    <w:p>
      <w:pPr>
        <w:pStyle w:val="ListParagraph"/>
        <w:numPr>
          <w:ilvl w:val="0"/>
          <w:numId w:val="2"/>
        </w:numPr>
        <w:spacing w:after="80" w:line="280"/>
      </w:pPr>
      <w:r>
        <w:rPr>
          <w:sz w:val="22"/>
          <w:szCs w:val="22"/>
        </w:rPr>
        <w:t xml:space="preserve">行业可能出现光伏电池厂商和上游设备厂商的“两极分化”，技术和客户资源较弱的企业承压更明显。</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海目星激光（688559）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光伏电池及组件精密激光装备企业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产品覆盖TOPCon、xBC、HJT、钙钛矿等路线，并涉及背面激光减薄、TOPCon激光掺杂、BC激光开膜和组件端自动化设备；业务更综合，与帝尔激光在光伏激光领域重合度较高。</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迈为股份（300751）</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HJT电池设备、丝网印刷设备及整线设备供应商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具备HJT核心工艺设备和海外整线销售能力；与帝尔激光的直接竞争主要集中在HJT相关激光设备、组件金属化及部分新型电池设备环节，迈为股份更偏整线和平台型电池设备。</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捷佳伟创（300724）</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光伏电池设备综合供应商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布局TOPCon、HJT、XBC、钙钛矿及叠层电池等技术路线，具备较强整线供应和多工艺段覆盖能力；与帝尔激光的竞争主要体现为部分电池工艺设备、激光相关设备以及客户资本开支预算上的竞争。</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大族激光（002008）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综合性工业激光设备企业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覆盖消费电子、新能源、通用工业和光伏等场景，可能在组件激光焊接、光伏激光加工及半导体激光设备等环节形成竞争，但光伏激光并非其唯一核心业务。</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德龙激光（688170）</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半导体、显示、消费电子和精密微加工激光设备企业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与帝尔激光在TGV玻璃基板、先进封装、半导体和新型显示激光设备方面具有潜在交叉；与帝尔激光传统光伏主业的重合度相对较低。</w:t>
            </w:r>
          </w:p>
        </w:tc>
      </w:tr>
    </w:tbl>
    <w:p>
      <w:pPr>
        <w:spacing w:before="200"/>
      </w:pPr>
    </w:p>
    <w:p>
      <w:pPr>
        <w:spacing w:after="160" w:line="300"/>
      </w:pPr>
      <w:r>
        <w:rPr>
          <w:sz w:val="22"/>
          <w:szCs w:val="22"/>
        </w:rPr>
        <w:t xml:space="preserve">帝尔激光相较于海目星激光，在光伏激光设备细分领域具有较高业务聚焦度；相较于迈为股份和捷佳伟创，公司更专注于光伏激光精密加工设备，而非整线或多工艺段设备；相较于大族激光，公司综合业务范围较窄但光伏激光工艺聚焦度更高；相较于德龙激光，双方主要在TGV、先进封装、新型显示等非光伏激光微纳加工领域存在潜在交叉。上述公司并非均与帝尔激光形成完全同质化竞争，部分属于光伏设备或激光设备的交叉可比公司。</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光伏主业集中度过高：2025年光伏业务收入占营业收入99.98%，2026年上半年光伏电池及组件激光设备收入仍占营业收入约92.3%；若光伏电池厂商资本开支继续放缓或采购节奏推迟，公司整体收入和利润可能受到明显影响。</w:t>
      </w:r>
    </w:p>
    <w:p>
      <w:pPr>
        <w:pStyle w:val="ListParagraph"/>
        <w:numPr>
          <w:ilvl w:val="0"/>
          <w:numId w:val="2"/>
        </w:numPr>
        <w:spacing w:after="80" w:line="280"/>
      </w:pPr>
      <w:r>
        <w:rPr>
          <w:sz w:val="22"/>
          <w:szCs w:val="22"/>
        </w:rPr>
        <w:t xml:space="preserve">客户集中度较高：2025年前五大客户销售金额占年度销售总额66.66%，第一大客户占比25.45%；若主要客户削减扩产计划、延迟验收、调整采购节奏或议价能力增强，可能影响订单、收入确认和毛利率。</w:t>
      </w:r>
    </w:p>
    <w:p>
      <w:pPr>
        <w:pStyle w:val="ListParagraph"/>
        <w:numPr>
          <w:ilvl w:val="0"/>
          <w:numId w:val="2"/>
        </w:numPr>
        <w:spacing w:after="80" w:line="280"/>
      </w:pPr>
      <w:r>
        <w:rPr>
          <w:sz w:val="22"/>
          <w:szCs w:val="22"/>
        </w:rPr>
        <w:t xml:space="preserve">供应商集中度及核心零部件依赖风险：2025年前五大供应商采购金额占年度采购总额65.67%，第一大供应商占比35.18%；公司成本中直接材料占光伏业务成本约83.03%，激光器、精密光学器件和高精度机械件等部件存在技术和供应依赖，供应波动或成本上涨可能压缩盈利。</w:t>
      </w:r>
    </w:p>
    <w:p>
      <w:pPr>
        <w:pStyle w:val="ListParagraph"/>
        <w:numPr>
          <w:ilvl w:val="0"/>
          <w:numId w:val="2"/>
        </w:numPr>
        <w:spacing w:after="80" w:line="280"/>
      </w:pPr>
      <w:r>
        <w:rPr>
          <w:sz w:val="22"/>
          <w:szCs w:val="22"/>
        </w:rPr>
        <w:t xml:space="preserve">应收账款及信用减值风险：2026年上半年计提应收账款坏账损失5,780.34万元，信用减值和资产减值合计5,785.01万元；若客户回款进一步延迟或信用状况恶化，可能继续增加减值损失并削弱经营现金流质量。</w:t>
      </w:r>
    </w:p>
    <w:p>
      <w:pPr>
        <w:pStyle w:val="ListParagraph"/>
        <w:numPr>
          <w:ilvl w:val="0"/>
          <w:numId w:val="2"/>
        </w:numPr>
        <w:spacing w:after="80" w:line="280"/>
      </w:pPr>
      <w:r>
        <w:rPr>
          <w:sz w:val="22"/>
          <w:szCs w:val="22"/>
        </w:rPr>
        <w:t xml:space="preserve">新业务商业化不及预期风险：2025年半导体先进封装和下一代显示激光设备收入约35.40万元，占比约0.02%，TGV、PCB、先进封装和新型显示业务仍处于出货、验证或早期商业化阶段；若客户验证、工艺适配或批量导入进度不及预期，第二增长曲线可能无法及时形成。</w:t>
      </w:r>
    </w:p>
    <w:p>
      <w:pPr>
        <w:pStyle w:val="ListParagraph"/>
        <w:numPr>
          <w:ilvl w:val="0"/>
          <w:numId w:val="2"/>
        </w:numPr>
        <w:spacing w:after="80" w:line="280"/>
      </w:pPr>
      <w:r>
        <w:rPr>
          <w:sz w:val="22"/>
          <w:szCs w:val="22"/>
        </w:rPr>
        <w:t xml:space="preserve">光伏设备竞争加剧及毛利率下行风险：行业存在结构性产能过剩，客户议价权可能增强；公司2026年上半年销售毛利率约45.26%，同比下降约2.39个百分点，若设备同质化、价格竞争或产品结构变化持续，盈利能力可能进一步承压。</w:t>
      </w:r>
    </w:p>
    <w:p>
      <w:pPr>
        <w:pStyle w:val="ListParagraph"/>
        <w:numPr>
          <w:ilvl w:val="0"/>
          <w:numId w:val="2"/>
        </w:numPr>
        <w:spacing w:after="80" w:line="280"/>
      </w:pPr>
      <w:r>
        <w:rPr>
          <w:sz w:val="22"/>
          <w:szCs w:val="22"/>
        </w:rPr>
        <w:t xml:space="preserve">收入确认和项目交付节奏风险：设备收入确认与交付、安装、调试和验收高度相关，2025年光伏设备销售量同比下降10.81%、生产量同比下降42.65%；订单规模不一定同步转化为当期收入，可能导致业绩在季度间出现较大波动。</w:t>
      </w:r>
    </w:p>
    <w:p>
      <w:pPr>
        <w:pStyle w:val="ListParagraph"/>
        <w:numPr>
          <w:ilvl w:val="0"/>
          <w:numId w:val="2"/>
        </w:numPr>
        <w:spacing w:after="80" w:line="280"/>
      </w:pPr>
      <w:r>
        <w:rPr>
          <w:sz w:val="22"/>
          <w:szCs w:val="22"/>
        </w:rPr>
        <w:t xml:space="preserve">估值回撤风险：截至2026年9月11日，公司滚动或静态市盈率约60倍，2026年动态市盈率仍约47—56倍；若业绩恢复、BC设备需求或泛半导体业务放量低于预期，较高估值可能面临压缩。</w:t>
      </w:r>
    </w:p>
    <w:p>
      <w:pPr>
        <w:pStyle w:val="ListParagraph"/>
        <w:numPr>
          <w:ilvl w:val="0"/>
          <w:numId w:val="2"/>
        </w:numPr>
        <w:spacing w:after="80" w:line="280"/>
      </w:pPr>
      <w:r>
        <w:rPr>
          <w:sz w:val="22"/>
          <w:szCs w:val="22"/>
        </w:rPr>
        <w:t xml:space="preserve">股价波动及技术面走弱风险：股价较2026年6月底218元高点回撤约50%，9月11日收盘价低于MA5、MA10和MA20，近5个交易日主力资金净流出约6488.75万元；若跌破104.70—102.45元区域，短期价格波动风险可能进一步加大。</w:t>
      </w:r>
    </w:p>
    <w:p>
      <w:pPr>
        <w:pStyle w:val="ListParagraph"/>
        <w:numPr>
          <w:ilvl w:val="0"/>
          <w:numId w:val="2"/>
        </w:numPr>
        <w:spacing w:after="80" w:line="280"/>
      </w:pPr>
      <w:r>
        <w:rPr>
          <w:sz w:val="22"/>
          <w:szCs w:val="22"/>
        </w:rPr>
        <w:t xml:space="preserve">股东减持及筹码变化风险：2026年7月控股股东、董事及高管以及相关股东通过询价转让合计约768.2万股，占公司总股本约2.6932%；同时截至2026年6月30日股东户数较一季度增加约113.49%，筹码结构变化可能加大市场交易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中长期增长仍取决于光伏激光设备在BC、TOPCon等路线中的持续导入和放量，以及新业务从早期出货、客户验证转向规模化收入。公司在激光工艺、客户认证、设备稳定性和规模交付方面具备基础，合同负债截至2025年末为14.13亿元，体现出项目制设备业务的客户预付款特征；但合同负债较2024年末下降，后续订单转化和收入确认节奏仍需跟踪。</w:t>
      </w:r>
    </w:p>
    <w:p>
      <w:pPr>
        <w:spacing w:after="160" w:line="300"/>
      </w:pPr>
      <w:r>
        <w:rPr>
          <w:sz w:val="22"/>
          <w:szCs w:val="22"/>
        </w:rPr>
        <w:t xml:space="preserve">短期业绩修复的确定性受到光伏行业结构性产能过剩、资本开支节奏、设备验收以及产品价格和毛利率变化的影响。2026年上半年销售毛利率约45.26%，同比下降约2.39个百分点，且应收账款坏账损失计提5,780.34万元，说明回款质量和客户财务状况需要重点关注。泛半导体业务若不能按预期放量，公司收入结构仍将高度集中于光伏主业。</w:t>
      </w:r>
    </w:p>
    <w:p>
      <w:pPr>
        <w:spacing w:after="160" w:line="300"/>
      </w:pPr>
      <w:r>
        <w:rPr>
          <w:sz w:val="22"/>
          <w:szCs w:val="22"/>
        </w:rPr>
        <w:t xml:space="preserve">当前估值对2027—2028年盈利增长及第二增长曲线存在较高依赖，而股价仍处于短期均线下方且近期资金面偏谨慎。后续可重点关注光伏订单、设备交付验收、BC及TOPCon产品放量、TGV及先进封装等业务收入贡献、应收账款回款，以及股价能否伴随成交量改善重新收复112—115.50元区域；上述因素将共同影响业绩预期和估值水平。</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帝尔激光(300776)股票股价,行情,新闻,财报数据_新浪财经_新浪网 — https://finance.sina.com.cn/realstock/company/sz300776/nc.shtml?utm_source=openai</w:t>
      </w:r>
    </w:p>
    <w:p>
      <w:pPr>
        <w:spacing w:after="200"/>
      </w:pPr>
      <w:r>
        <w:rPr>
          <w:i/>
          <w:iCs/>
          <w:color w:val="595959"/>
          <w:sz w:val="18"/>
          <w:szCs w:val="18"/>
        </w:rPr>
        <w:t xml:space="preserve">https://static.cninfo.com.cn/finalpage/2026-03-31/1225055756.PDF — https://static.cninfo.com.cn/finalpage/2026-03-31/1225055756.PDF</w:t>
      </w:r>
    </w:p>
    <w:p>
      <w:pPr>
        <w:spacing w:after="200"/>
      </w:pPr>
      <w:r>
        <w:rPr>
          <w:i/>
          <w:iCs/>
          <w:color w:val="595959"/>
          <w:sz w:val="18"/>
          <w:szCs w:val="18"/>
        </w:rPr>
        <w:t xml:space="preserve">公司公告_帝尔激光：2024年年度报告新浪财经_新浪网 — https://vip.stock.finance.sina.com.cn/corp/view/vCB_AllBulletinDetail.php?id=10995553&amp;utm_source=openai</w:t>
      </w:r>
    </w:p>
    <w:p>
      <w:pPr>
        <w:spacing w:after="200"/>
      </w:pPr>
      <w:r>
        <w:rPr>
          <w:i/>
          <w:iCs/>
          <w:color w:val="595959"/>
          <w:sz w:val="18"/>
          <w:szCs w:val="18"/>
        </w:rPr>
        <w:t xml:space="preserve">海目星激光科技集团股份有限公司2025年年度报告 — https://static.cninfo.com.cn/finalpage/2026-04-30/1225268212.PDF?utm_source=openai</w:t>
      </w:r>
    </w:p>
    <w:p>
      <w:pPr>
        <w:spacing w:after="200"/>
      </w:pPr>
      <w:r>
        <w:rPr>
          <w:i/>
          <w:iCs/>
          <w:color w:val="595959"/>
          <w:sz w:val="18"/>
          <w:szCs w:val="18"/>
        </w:rPr>
        <w:t xml:space="preserve">苏州迈为科技股份有限公司 2025 年年度报告全文 — https://static.cninfo.com.cn/finalpage/2026-04-28/1225211530.PDF?utm_source=openai</w:t>
      </w:r>
    </w:p>
    <w:p>
      <w:pPr>
        <w:spacing w:after="200"/>
      </w:pPr>
      <w:r>
        <w:rPr>
          <w:i/>
          <w:iCs/>
          <w:color w:val="595959"/>
          <w:sz w:val="18"/>
          <w:szCs w:val="18"/>
        </w:rPr>
        <w:t xml:space="preserve">互动易云访谈 — https://irm.cninfo.com.cn/interview/interview/activityInfo?activityId=1441797981466853376&amp;utm_source=openai</w:t>
      </w:r>
    </w:p>
    <w:p>
      <w:pPr>
        <w:spacing w:after="200"/>
      </w:pPr>
      <w:r>
        <w:rPr>
          <w:i/>
          <w:iCs/>
          <w:color w:val="595959"/>
          <w:sz w:val="18"/>
          <w:szCs w:val="18"/>
        </w:rPr>
        <w:t xml:space="preserve">公司选取了大族激光、华工科技、海目星、联赢激光、宏石激光作为可比公司进行对比分析。上述可比公司同属于专用设备制造业，主营产品均属于激光加工设备，并且有部分产品与公司相同，因此具备可比性。 — https://reportdocs.static.szse.cn/UpFiles/rasinfodisc1/202309/RAS_202309_00929712DB064BE58ED28D2AEB046025.pdf?utm_source=openai</w:t>
      </w:r>
    </w:p>
    <w:p>
      <w:pPr>
        <w:spacing w:after="200"/>
      </w:pPr>
      <w:r>
        <w:rPr>
          <w:i/>
          <w:iCs/>
          <w:color w:val="595959"/>
          <w:sz w:val="18"/>
          <w:szCs w:val="18"/>
        </w:rPr>
        <w:t xml:space="preserve">https://static.cninfo.com.cn/finalpage/2026-08-20/1225483098.PDF — https://static.cninfo.com.cn/finalpage/2026-08-20/1225483098.PDF</w:t>
      </w:r>
    </w:p>
    <w:p>
      <w:pPr>
        <w:spacing w:after="200"/>
      </w:pPr>
      <w:r>
        <w:rPr>
          <w:i/>
          <w:iCs/>
          <w:color w:val="595959"/>
          <w:sz w:val="18"/>
          <w:szCs w:val="18"/>
        </w:rPr>
        <w:t xml:space="preserve">帝尔激光上半年营收10.29亿元同比降12.02%，归母净利润3.06亿元同比降6.38%，毛利率下降2.39个百分点_新浪财经_新浪网 — https://finance.sina.com.cn/stock/aiassist/yjbg/2026-08-19/doc-ininwiee8233668.shtml?utm_source=openai</w:t>
      </w:r>
    </w:p>
    <w:p>
      <w:pPr>
        <w:spacing w:after="200"/>
      </w:pPr>
      <w:r>
        <w:rPr>
          <w:i/>
          <w:iCs/>
          <w:color w:val="595959"/>
          <w:sz w:val="18"/>
          <w:szCs w:val="18"/>
        </w:rPr>
        <w:t xml:space="preserve">B178
信息披露
Disclosure
2026年3月31日星期二
zqsb@stcn.com ( — https://epaper.stcn.com/att/202603/31/ZQ31B178-ZZ_eBook.pdf?utm_source=openai</w:t>
      </w:r>
    </w:p>
    <w:p>
      <w:pPr>
        <w:spacing w:after="200"/>
      </w:pPr>
      <w:r>
        <w:rPr>
          <w:i/>
          <w:iCs/>
          <w:color w:val="595959"/>
          <w:sz w:val="18"/>
          <w:szCs w:val="18"/>
        </w:rPr>
        <w:t xml:space="preserve">帝尔激光(300776) 盈利预测_F10_同花顺金融服务网 — https://basic.10jqka.com.cn/300776/worth.html</w:t>
      </w:r>
    </w:p>
    <w:p>
      <w:pPr>
        <w:spacing w:after="200"/>
      </w:pPr>
      <w:r>
        <w:rPr>
          <w:i/>
          <w:iCs/>
          <w:color w:val="595959"/>
          <w:sz w:val="18"/>
          <w:szCs w:val="18"/>
        </w:rPr>
        <w:t xml:space="preserve">盈利预测 — https://webf10.gw.com.cn/SZ/B16/SZ300776_B16.html?utm_source=openai</w:t>
      </w:r>
    </w:p>
    <w:p>
      <w:pPr>
        <w:spacing w:after="200"/>
      </w:pPr>
      <w:r>
        <w:rPr>
          <w:i/>
          <w:iCs/>
          <w:color w:val="595959"/>
          <w:sz w:val="18"/>
          <w:szCs w:val="18"/>
        </w:rPr>
        <w:t xml:space="preserve">研报指标速递-研报-股票频道-证券之星 — https://stock.stockstar.com/report/data_all_issystwxqxrxqprxpvrpr.html?utm_source=openai</w:t>
      </w:r>
    </w:p>
    <w:p>
      <w:pPr>
        <w:spacing w:after="200"/>
      </w:pPr>
      <w:r>
        <w:rPr>
          <w:i/>
          <w:iCs/>
          <w:color w:val="595959"/>
          <w:sz w:val="18"/>
          <w:szCs w:val="18"/>
        </w:rPr>
        <w:t xml:space="preserve">帝尔激光(300776)：先进封装设备打开新增长曲线 — https://quote.cfi.cn/ybdata.aspx?id=20260810000325&amp;utm_source=openai</w:t>
      </w:r>
    </w:p>
    <w:p>
      <w:pPr>
        <w:spacing w:after="200"/>
      </w:pPr>
      <w:r>
        <w:rPr>
          <w:i/>
          <w:iCs/>
          <w:color w:val="595959"/>
          <w:sz w:val="18"/>
          <w:szCs w:val="18"/>
        </w:rPr>
        <w:t xml:space="preserve">帝爾激光 (300776)股票預測和分析師評級 - 富途牛牛 — https://www.futunn.com/hk/stock/300776-SZ/forecast?global_content=%7B%22promote_id%22%3A13766%2C%22sub_promote_id%22%3A40%7D&amp;utm_source=openai</w:t>
      </w:r>
    </w:p>
    <w:p>
      <w:pPr>
        <w:spacing w:after="200"/>
      </w:pPr>
      <w:r>
        <w:rPr>
          <w:i/>
          <w:iCs/>
          <w:color w:val="595959"/>
          <w:sz w:val="18"/>
          <w:szCs w:val="18"/>
        </w:rPr>
        <w:t xml:space="preserve">帝尔激光(300776)股票历史数据:历史行情,价格,走势图表_英为财情Investing.com — https://cn.investing.com/equities/wuhan-dr-laser-technology-corp-ltd-historical-data?utm_source=openai</w:t>
      </w:r>
    </w:p>
    <w:p>
      <w:pPr>
        <w:spacing w:after="200"/>
      </w:pPr>
      <w:r>
        <w:rPr>
          <w:i/>
          <w:iCs/>
          <w:color w:val="595959"/>
          <w:sz w:val="18"/>
          <w:szCs w:val="18"/>
        </w:rPr>
        <w:t xml:space="preserve">帝尔激光(300776)市盈率|估值|基本面 - 理杏仁 — https://www.lixinger.com/equity/company/detail/sz/300776/300776/fundamental/valuation/pe-ttm?utm_source=openai</w:t>
      </w:r>
    </w:p>
    <w:p>
      <w:pPr>
        <w:spacing w:after="200"/>
      </w:pPr>
      <w:r>
        <w:rPr>
          <w:i/>
          <w:iCs/>
          <w:color w:val="595959"/>
          <w:sz w:val="18"/>
          <w:szCs w:val="18"/>
        </w:rPr>
        <w:t xml:space="preserve">武汉帝尔激光科技股份有限公司2026年半年度报告摘要 — https://static.cninfo.com.cn/finalpage/2026-08-20/1225483097.PDF?utm_source=openai</w:t>
      </w:r>
    </w:p>
    <w:p>
      <w:pPr>
        <w:spacing w:after="200"/>
      </w:pPr>
      <w:r>
        <w:rPr>
          <w:i/>
          <w:iCs/>
          <w:color w:val="595959"/>
          <w:sz w:val="18"/>
          <w:szCs w:val="18"/>
        </w:rPr>
        <w:t xml:space="preserve">证券代码：300776　　证券简称：帝尔激光　　公告编号：2026-075 — https://static.cninfo.com.cn/finalpage/2026-07-20/1225431485.pdf?utm_source=openai</w:t>
      </w:r>
    </w:p>
    <w:p>
      <w:pPr>
        <w:spacing w:after="200"/>
      </w:pPr>
      <w:r>
        <w:rPr>
          <w:i/>
          <w:iCs/>
          <w:color w:val="595959"/>
          <w:sz w:val="18"/>
          <w:szCs w:val="18"/>
        </w:rPr>
        <w:t xml:space="preserve">帝尔激光(300776)_公司公告_帝尔激光：关于公司董事会秘书增持计划实施进展暨时间过半的公告新浪财经_新浪网 — https://vip.stock.finance.sina.com.cn/corp/view/vCB_AllBulletinDetail.php?id=12584383&amp;stockid=300776&amp;utm_source=openai</w:t>
      </w:r>
    </w:p>
    <w:p>
      <w:pPr>
        <w:spacing w:after="200"/>
      </w:pPr>
      <w:r>
        <w:rPr>
          <w:i/>
          <w:iCs/>
          <w:color w:val="595959"/>
          <w:sz w:val="18"/>
          <w:szCs w:val="18"/>
        </w:rPr>
        <w:t xml:space="preserve">证券代码：300776  证券简称：帝尔激光  公告编号：2026-082 — https://static.cninfo.com.cn/finalpage/2026-08-20/1225483104.PDF?utm_source=openai</w:t>
      </w:r>
    </w:p>
    <w:p>
      <w:pPr>
        <w:spacing w:after="200"/>
      </w:pPr>
      <w:r>
        <w:rPr>
          <w:i/>
          <w:iCs/>
          <w:color w:val="595959"/>
          <w:sz w:val="18"/>
          <w:szCs w:val="18"/>
        </w:rPr>
        <w:t xml:space="preserve">证券代码：300776　　证券简称：帝尔激光　　公告编号：2026-072 — https://disc.static.szse.cn/download/disc/disk03/finalpage/2026-07-06/6dfb2412-f876-44c8-980c-4f75a0d04552.PDF?utm_source=openai</w:t>
      </w:r>
    </w:p>
    <w:p>
      <w:pPr>
        <w:spacing w:after="200"/>
      </w:pPr>
      <w:r>
        <w:rPr>
          <w:i/>
          <w:iCs/>
          <w:color w:val="595959"/>
          <w:sz w:val="18"/>
          <w:szCs w:val="18"/>
        </w:rPr>
        <w:t xml:space="preserve">帝尔激光(300776) 公司大事_F10_同花顺金融服务网 — https://basic.10jqka.com.cn/300776/event.html?utm_source=openai</w:t>
      </w:r>
    </w:p>
    <w:p>
      <w:pPr>
        <w:spacing w:after="200"/>
      </w:pPr>
      <w:r>
        <w:rPr>
          <w:i/>
          <w:iCs/>
          <w:color w:val="595959"/>
          <w:sz w:val="18"/>
          <w:szCs w:val="18"/>
        </w:rPr>
        <w:t xml:space="preserve">帝尔激光_ 个股日历 _ 东方财富网_ 数据频道 — https://data.eastmoney.com/stockcalendar/300776.html?utm_source=openai</w:t>
      </w:r>
    </w:p>
    <w:p>
      <w:pPr>
        <w:spacing w:after="200"/>
      </w:pPr>
      <w:r>
        <w:rPr>
          <w:i/>
          <w:iCs/>
          <w:color w:val="595959"/>
          <w:sz w:val="18"/>
          <w:szCs w:val="18"/>
        </w:rPr>
        <w:t xml:space="preserve">帝尔激光(300776)_公司公告_帝尔激光：2026年半年度报告新浪财经_新浪网 — https://money.finance.sina.com.cn/corp/view/vCB_AllBulletinDetail.php?id=12506698&amp;stockid=300776&amp;utm_source=openai</w:t>
      </w:r>
    </w:p>
    <w:p>
      <w:pPr>
        <w:spacing w:after="200"/>
      </w:pPr>
      <w:r>
        <w:rPr>
          <w:i/>
          <w:iCs/>
          <w:color w:val="595959"/>
          <w:sz w:val="18"/>
          <w:szCs w:val="18"/>
        </w:rPr>
        <w:t xml:space="preserve">帝尔激光(300776):第四届董事会第十四次会议决议- CFi.CN 中财网 — https://www.cfi.net.cn/p20260819003225.html?utm_source=openai</w:t>
      </w:r>
    </w:p>
    <w:p>
      <w:pPr>
        <w:spacing w:after="200"/>
      </w:pPr>
      <w:r>
        <w:rPr>
          <w:i/>
          <w:iCs/>
          <w:color w:val="595959"/>
          <w:sz w:val="18"/>
          <w:szCs w:val="18"/>
        </w:rPr>
        <w:t xml:space="preserve">证券代码：300776 — https://file.finance.sina.com.cn/211.154.219.97%3A9494/MRGG/CNSESZ_STOCK/2026/2026-4/2026-04-27/12236117.PDF?utm_source=openai</w:t>
      </w:r>
    </w:p>
    <w:p>
      <w:pPr>
        <w:spacing w:after="200"/>
      </w:pPr>
      <w:r>
        <w:rPr>
          <w:i/>
          <w:iCs/>
          <w:color w:val="595959"/>
          <w:sz w:val="18"/>
          <w:szCs w:val="18"/>
        </w:rPr>
        <w:t xml:space="preserve">市场监管总局部署开展 经营者集中反垄断监管效能提升专项行动 — https://www.samr.gov.cn/xw/sj/art/2026/art_e983d2203d7e4fffbd98e3295a15fee4.html?utm_source=openai</w:t>
      </w:r>
    </w:p>
    <w:p>
      <w:pPr>
        <w:spacing w:after="200"/>
      </w:pPr>
      <w:r>
        <w:rPr>
          <w:i/>
          <w:iCs/>
          <w:color w:val="595959"/>
          <w:sz w:val="18"/>
          <w:szCs w:val="18"/>
        </w:rPr>
        <w:t xml:space="preserve">帝尔激光(300776)_股票行情，行情首页_中财网 — https://quotedx.cfi.cn/quote.aspx?client=pc&amp;lm=outline&amp;stockid=68304</w:t>
      </w:r>
    </w:p>
    <w:p>
      <w:pPr>
        <w:spacing w:after="200"/>
      </w:pPr>
      <w:r>
        <w:rPr>
          <w:i/>
          <w:iCs/>
          <w:color w:val="595959"/>
          <w:sz w:val="18"/>
          <w:szCs w:val="18"/>
        </w:rPr>
        <w:t xml:space="preserve">帝尔激光(300776)股票信息 - 数据平台 — https://data.agoer.com/cms/Index/detail?id=300776&amp;utm_source=openai</w:t>
      </w:r>
    </w:p>
    <w:p>
      <w:pPr>
        <w:spacing w:after="200"/>
      </w:pPr>
      <w:r>
        <w:rPr>
          <w:i/>
          <w:iCs/>
          <w:color w:val="595959"/>
          <w:sz w:val="18"/>
          <w:szCs w:val="18"/>
        </w:rPr>
        <w:t xml:space="preserve">帝尔激光(300776)市盈率|估值|基本面 - 理杏仁 — https://www.lixinger.com/equity/company/detail/sz/300776/300776/fundamental/valuation/pe-ttm</w:t>
      </w:r>
    </w:p>
    <w:p>
      <w:pPr>
        <w:spacing w:after="200"/>
      </w:pPr>
      <w:r>
        <w:rPr>
          <w:i/>
          <w:iCs/>
          <w:color w:val="595959"/>
          <w:sz w:val="18"/>
          <w:szCs w:val="18"/>
        </w:rPr>
        <w:t xml:space="preserve">帝爾激光(300776.SZ) 走勢圖 - Yahoo股市 — https://tw.stock.yahoo.com/quote/300776.SZ?utm_source=openai</w:t>
      </w:r>
    </w:p>
    <w:p>
      <w:pPr>
        <w:spacing w:after="200"/>
      </w:pPr>
      <w:r>
        <w:rPr>
          <w:i/>
          <w:iCs/>
          <w:color w:val="595959"/>
          <w:sz w:val="18"/>
          <w:szCs w:val="18"/>
        </w:rPr>
        <w:t xml:space="preserve">帝尔激光(300776)股票历史数据:历史行情,价格,走势图表_英为财情Investing.com — https://cn.investing.com/equities/wuhan-dr-laser-technology-corp-ltd-historical-data</w:t>
      </w:r>
    </w:p>
    <w:p>
      <w:pPr>
        <w:spacing w:after="200"/>
      </w:pPr>
      <w:r>
        <w:rPr>
          <w:i/>
          <w:iCs/>
          <w:color w:val="595959"/>
          <w:sz w:val="18"/>
          <w:szCs w:val="18"/>
        </w:rPr>
        <w:t xml:space="preserve">帝尔激光(300776)股票行情走势技术分析_未来预测_买卖操作建议_英为财情Investing.com — https://cn.investing.com/equities/wuhan-dr-laser-technology-corp-ltd-technical?utm_source=openai</w:t>
      </w:r>
    </w:p>
    <w:p>
      <w:pPr>
        <w:spacing w:after="200"/>
      </w:pPr>
      <w:r>
        <w:rPr>
          <w:i/>
          <w:iCs/>
          <w:color w:val="595959"/>
          <w:sz w:val="18"/>
          <w:szCs w:val="18"/>
        </w:rPr>
        <w:t xml:space="preserve">帝尔激光(300776)个股资讯_新浪财经_新浪网 — https://vip.stock.finance.sina.com.cn/corp/go.php/vCB_AllNewsStock/symbol/sz300776.phtml?utm_source=openai</w:t>
      </w:r>
    </w:p>
    <w:p>
      <w:pPr>
        <w:spacing w:after="200"/>
      </w:pPr>
      <w:r>
        <w:rPr>
          <w:i/>
          <w:iCs/>
          <w:color w:val="595959"/>
          <w:sz w:val="18"/>
          <w:szCs w:val="18"/>
        </w:rPr>
        <w:t xml:space="preserve">帝尔激光(300776)资金流向_个股行情_同花顺财经 — https://stockpage.10jqka.com.cn/300776/funds/?utm_source=openai</w:t>
      </w:r>
    </w:p>
    <w:p>
      <w:pPr>
        <w:spacing w:after="200"/>
      </w:pPr>
      <w:r>
        <w:rPr>
          <w:i/>
          <w:iCs/>
          <w:color w:val="595959"/>
          <w:sz w:val="18"/>
          <w:szCs w:val="18"/>
        </w:rPr>
        <w:t xml:space="preserve">帝尔激光(300776)_公司公告_帝尔激光：2026年半年度报告摘要新浪财经_新浪网 — https://vip.stock.finance.sina.com.cn/corp/view/vCB_AllBulletinDetail.php?id=12506689&amp;stockid=300776&amp;utm_source=openai</w:t>
      </w:r>
    </w:p>
    <w:p>
      <w:pPr>
        <w:spacing w:after="200"/>
      </w:pPr>
      <w:r>
        <w:rPr>
          <w:i/>
          <w:iCs/>
          <w:color w:val="595959"/>
          <w:sz w:val="18"/>
          <w:szCs w:val="18"/>
        </w:rPr>
        <w:t xml:space="preserve">帝尔激光(300776) 股东研究_F10_同花顺金融服务网 — https://basic.10jqka.com.cn/300776/holder.html?utm_source=openai</w:t>
      </w:r>
    </w:p>
    <w:p>
      <w:pPr>
        <w:spacing w:after="200"/>
      </w:pPr>
      <w:r>
        <w:rPr>
          <w:i/>
          <w:iCs/>
          <w:color w:val="595959"/>
          <w:sz w:val="18"/>
          <w:szCs w:val="18"/>
        </w:rPr>
        <w:t xml:space="preserve">本报告由AI基于公开渠道信息自动检索、整理并生成，信息截至 截至2026年9月11日收盘；行情数据由数据平台于2026年9月11日16:15:51更新，部分技术指标数据截至2026年9月10日或更早日期，股东结构数据截至2026年6月30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2026-09-13T11:36:20.998Z</dcterms:created>
  <dcterms:modified xsi:type="dcterms:W3CDTF">2026-09-13T11:36:20.998Z</dcterms:modified>
</cp:coreProperties>
</file>

<file path=docProps/custom.xml><?xml version="1.0" encoding="utf-8"?>
<Properties xmlns="http://schemas.openxmlformats.org/officeDocument/2006/custom-properties" xmlns:vt="http://schemas.openxmlformats.org/officeDocument/2006/docPropsVTypes"/>
</file>