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0"/>
        <w:jc w:val="center"/>
      </w:pPr>
      <w:r>
        <w:rPr>
          <w:b/>
          <w:bCs/>
          <w:color w:val="1F4E79"/>
          <w:sz w:val="44"/>
          <w:szCs w:val="44"/>
        </w:rPr>
        <w:t xml:space="preserve">协创数据 (300857)</w:t>
      </w:r>
    </w:p>
    <w:p>
      <w:pPr>
        <w:spacing w:after="200" w:before="200"/>
        <w:jc w:val="center"/>
      </w:pPr>
      <w:r>
        <w:rPr>
          <w:b/>
          <w:bCs/>
          <w:color w:val="2E74B5"/>
          <w:sz w:val="34"/>
          <w:szCs w:val="34"/>
        </w:rPr>
        <w:t xml:space="preserve">个股分析报告</w:t>
      </w:r>
    </w:p>
    <w:p>
      <w:pPr>
        <w:spacing w:before="600"/>
        <w:jc w:val="center"/>
      </w:pPr>
      <w:r>
        <w:rPr>
          <w:color w:val="595959"/>
          <w:sz w:val="22"/>
          <w:szCs w:val="22"/>
        </w:rPr>
        <w:t xml:space="preserve">行业：存储硬件与算力服务</w:t>
      </w:r>
    </w:p>
    <w:p>
      <w:pPr>
        <w:jc w:val="center"/>
      </w:pPr>
      <w:r>
        <w:rPr>
          <w:color w:val="595959"/>
          <w:sz w:val="22"/>
          <w:szCs w:val="22"/>
        </w:rPr>
        <w:t xml:space="preserve">报告日期：2026年10月16日</w:t>
      </w:r>
    </w:p>
    <w:p>
      <w:pPr>
        <w:jc w:val="center"/>
      </w:pPr>
      <w:r>
        <w:rPr>
          <w:color w:val="595959"/>
          <w:sz w:val="20"/>
          <w:szCs w:val="20"/>
        </w:rPr>
        <w:t xml:space="preserve">行情截至2026-10-15收盘</w:t>
      </w:r>
    </w:p>
    <w:p>
      <w:pPr>
        <w:spacing w:before="800"/>
        <w:jc w:val="center"/>
      </w:pPr>
      <w:r>
        <w:rPr>
          <w:i/>
          <w:iCs/>
          <w:color w:val="595959"/>
          <w:sz w:val="18"/>
          <w:szCs w:val="18"/>
        </w:rPr>
        <w:t xml:space="preserve">本报告基于公开信息由AI自动整理生成，仅供参考，不构成投资建议</w:t>
      </w:r>
    </w:p>
    <w:p>
      <w:r>
        <w:br w:type="page"/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核心结论：业绩加速已兑现，但高杠杆与高估值要求算力扩张持续转化为回报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700"/>
      </w:tblGrid>
      <w:tr>
        <w:trPr>
          <w:tblHeader/>
        </w:trPr>
        <w:tc>
          <w:tcPr>
            <w:tcW w:type="dxa" w:w="3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关键数据</w:t>
            </w:r>
          </w:p>
        </w:tc>
        <w:tc>
          <w:tcPr>
            <w:tcW w:type="dxa" w:w="6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收盘价（当日涨跌幅）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205.55元（-6.45%）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总市值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约1005.89亿元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PE(TTM)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39.13倍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PB(MRQ)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16.59倍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52周区间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91.54～355.55元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成交额/换手率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近10日15.79~39.40亿元；1.46%~3.16%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行情数据截至：2026-10-15收盘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一、投资要点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中报增长与利润率同步跃升</w:t>
      </w:r>
      <w:r>
        <w:rPr>
          <w:sz w:val="22"/>
          <w:szCs w:val="22"/>
        </w:rPr>
        <w:t xml:space="preserve">：2026年中报营收125.23亿元、归母净利润18.38亿元，同比分别增长153.29%、325.51%；毛利率升至25.15%。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算力放量是增长主引擎，回报仍待验证</w:t>
      </w:r>
      <w:r>
        <w:rPr>
          <w:sz w:val="22"/>
          <w:szCs w:val="22"/>
        </w:rPr>
        <w:t xml:space="preserve">：2025年算力产品及服务收入增长1,727.17%但受低基数影响；2026年中报增长提速，同时财务费用同比增714.48%。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现价估值不低，PB与PS处于高分位</w:t>
      </w:r>
      <w:r>
        <w:rPr>
          <w:sz w:val="22"/>
          <w:szCs w:val="22"/>
        </w:rPr>
        <w:t xml:space="preserve">：10月15日收盘205.55元，PE-TTM 39.13倍、PB-MRQ 16.59倍；分别处于近5.2年39%、88%分位，PS-TTM 5.08倍处于83%分位。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市场预期与证据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市场在定价</w:t>
      </w:r>
      <w:r>
        <w:rPr>
          <w:sz w:val="22"/>
          <w:szCs w:val="22"/>
        </w:rPr>
        <w:t xml:space="preserve">：机构预测2026年归母净利润增长292.7%；现价在给定回报及退出PE假设下隐含10年EPS年均增长18.9%。两者期限和指标不同，不能直接比较高低。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证据显示</w:t>
      </w:r>
      <w:r>
        <w:rPr>
          <w:sz w:val="22"/>
          <w:szCs w:val="22"/>
        </w:rPr>
        <w:t xml:space="preserve">：中报收入、利润及毛利率均显著提速，支持增长兑现；但高杠杆、财务费用大增，算力投入能否转成持续服务收入与现金回报，仍待三季报及后续利用率验证。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证据倾向：证据不足；置信度：低（部分财务字段仍缺官方核验或披露日期、部分论据存在期间或口径冲突，已屏蔽相关判断）</w:t>
      </w:r>
    </w:p>
    <w:p>
      <w:pPr>
        <w:spacing w:after="160" w:line="300"/>
      </w:pPr>
      <w:r>
        <w:rPr>
          <w:sz w:val="22"/>
          <w:szCs w:val="22"/>
        </w:rPr>
        <w:t xml:space="preserve">部分论据期间或口径未一致，相关比较已撤回。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二、生意与竞争力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2.1 业务结构</w:t>
      </w:r>
    </w:p>
    <w:p>
      <w:pPr>
        <w:spacing w:after="160" w:line="300"/>
      </w:pPr>
      <w:r>
        <w:rPr>
          <w:sz w:val="22"/>
          <w:szCs w:val="22"/>
        </w:rPr>
        <w:t xml:space="preserve">向消费电子、存储及算力客户销售存储设备、智能终端和服务器，并提供算力服务及服务器再制造。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400"/>
        <w:gridCol w:w="1300"/>
        <w:gridCol w:w="1400"/>
        <w:gridCol w:w="3800"/>
      </w:tblGrid>
      <w:tr>
        <w:trPr>
          <w:tblHeader/>
        </w:trPr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业务板块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收入占比</w:t>
            </w:r>
          </w:p>
        </w:tc>
        <w:tc>
          <w:tcPr>
            <w:tcW w:type="dxa" w:w="1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收入增速</w:t>
            </w:r>
          </w:p>
        </w:tc>
        <w:tc>
          <w:tcPr>
            <w:tcW w:type="dxa" w:w="3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要点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数据存储设备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36.72%（2025年）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14.89%（2025年）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28.31%（2025年同比）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毛利率同比提高3.86个百分点</w:t>
            </w:r>
          </w:p>
        </w:tc>
      </w:tr>
      <w:tr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智能算力产品及服务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22.57%（2025年）</w:t>
            </w:r>
          </w:p>
        </w:tc>
        <w:tc>
          <w:tcPr>
            <w:tcW w:type="dxa" w:w="1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25.53%（2025年）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1,727.17%（2025年同比）</w:t>
            </w:r>
          </w:p>
        </w:tc>
        <w:tc>
          <w:tcPr>
            <w:tcW w:type="dxa" w:w="3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高增速受2024年低基数影响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服务器及周边再制造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21.04%（2025年）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15.02%（2025年）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169.35%（2025年同比）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毛利率同比提高5.79个百分点</w:t>
            </w:r>
          </w:p>
        </w:tc>
      </w:tr>
      <w:tr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物联网智能终端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12.85%（2025年）</w:t>
            </w:r>
          </w:p>
        </w:tc>
        <w:tc>
          <w:tcPr>
            <w:tcW w:type="dxa" w:w="1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27.65%（2025年）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-30.42%（2025年同比）</w:t>
            </w:r>
          </w:p>
        </w:tc>
        <w:tc>
          <w:tcPr>
            <w:tcW w:type="dxa" w:w="3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收入下滑，毛利率同比下降4.38个百分点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其他类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6.83%（2025年）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19.00%（2025年）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53.97%（2025年同比）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毛利率同比提高8.66个百分点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2.2 竞争优势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竞争优势强度：不明显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产品覆盖存储、IoT、算力及服务器再制造，尚无证据证明各环节均具领先优势。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2025年直接材料占营业成本89.28%；供应链管理与自动化降本是已披露举措。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再制造资质、认证及自动化拆解能力构成业务门槛，但未证明市场份额或盈利领先。</w:t>
      </w:r>
    </w:p>
    <w:p>
      <w:pPr>
        <w:spacing w:after="160" w:line="300"/>
      </w:pPr>
      <w:r>
        <w:rPr>
          <w:sz w:val="22"/>
          <w:szCs w:val="22"/>
        </w:rPr>
        <w:t xml:space="preserve">主要威胁：客户及供应商集中、关键电子元件和算力设备成本波动；算力投入需转化为利用率、服务收入和现金回报。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2.3 产业链位置与盈利趋势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投入包括存储芯片及模组部件、IoT电子部件、算力服务器及相关设备，以及再制造回收设备和拆解加工投入；直接材料占2025年营业成本89.28%，关键部件定价权未获证实。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2025年报披露前五大供应商采购额占比51.89%、第一大占21.96%；采购额增加部分含算力服务器等固定资产投入，不等同于营业成本。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2025年直销收入占营业收入100%，客户涉及消费电子、存储、算力及服务器再制造；产品竞争、订单规模影响硬件议价，算力服务还取决于利用率和服务价格。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2025年报披露前五大客户占收入46.75%、第一大客户占30.81%；客户名称匿名，现有数据为2025年口径。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2025年末应收账款24.78亿元，占营收20.25%、为归母净利润2.13倍；平均应收账款估算周转约58天。存货升至28.77亿元、预付款升至3.39亿元，经营现金流净额为11.00亿元。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800"/>
        <w:gridCol w:w="1800"/>
        <w:gridCol w:w="48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净利率</w:t>
            </w:r>
          </w:p>
        </w:tc>
        <w:tc>
          <w:tcPr>
            <w:tcW w:type="dxa" w:w="4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变动原因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2021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11.56%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4.27%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2022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11.20%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4.16%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2023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13.55%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6.17%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17.36%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9.34%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供应链优化、无人工厂建设及高毛利IoT业务占比支撑改善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19.24%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9.52%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算力与再制造扩张、存储毛利改善；IoT收入及毛利率下滑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公司位于电子硬件制造、供应链交付与算力服务之间的中游，整体并非高毛利品牌或上游资源商。利润率改善更依赖算力设备利用率与服务收入兑现、存储产品组合升级、供应链降本及再制造效率。2021—2023年毛利率变动缺乏足够的分年归因依据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2.4 行业与同行对比</w:t>
      </w:r>
    </w:p>
    <w:p>
      <w:pPr>
        <w:spacing w:after="160" w:line="300"/>
      </w:pPr>
      <w:r>
        <w:rPr>
          <w:sz w:val="22"/>
          <w:szCs w:val="22"/>
        </w:rPr>
        <w:t xml:space="preserve">公司由存储与IoT硬件向算力及服务器再制造拓展；2025年算力和再制造增长显著，后续关键在于算力投入转化为利用率、服务收入和现金回报。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300"/>
        <w:gridCol w:w="2600"/>
        <w:gridCol w:w="29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公司</w:t>
            </w:r>
          </w:p>
        </w:tc>
        <w:tc>
          <w:tcPr>
            <w:tcW w:type="dxa" w:w="2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定位</w:t>
            </w:r>
          </w:p>
        </w:tc>
        <w:tc>
          <w:tcPr>
            <w:tcW w:type="dxa" w:w="2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可比数据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与本公司差异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江波龙（301308）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存储产品及相关解决方案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2025年营收227.66亿元；毛利率19.40%；PE(TTM) 9.36倍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规模更大；公司业务还包括算力服务、IoT及服务器再制造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德明利（001309）</w:t>
            </w:r>
          </w:p>
        </w:tc>
        <w:tc>
          <w:tcPr>
            <w:tcW w:type="dxa" w:w="2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存储产品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2025年营收107.89亿元；毛利率14.81%；PE(TTM) 9.82倍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公司营收规模较其高，且业务组合覆盖算力与再制造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佰维存储（688525）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存储产品及制造服务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2025年主营业务收入110.20亿元；毛利率21.45%；PE(TTM) 8.91倍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主营业务毛利率较高；公司收入结构更包含算力和再制造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协创数据2025年综合毛利率19.24%，处于存储可比公司披露毛利率区间内，但业务边界更宽，整体盈利不能直接等同于纯存储公司。其优势在业务覆盖与交付组合；客户集中、材料占成本比重高，且算力扩张的回报仍取决于设备利用率和服务收入兑现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三、财务质量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3.1 经营业绩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600"/>
        <w:gridCol w:w="1100"/>
        <w:gridCol w:w="1600"/>
        <w:gridCol w:w="1100"/>
        <w:gridCol w:w="1400"/>
        <w:gridCol w:w="16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报告期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扣非同比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2026年中报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125.23亿元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+153.29%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18.38亿元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+325.51%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+339.91%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25.15%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2025年年报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122.36亿元人民币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+65.13%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11.64亿元人民币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+68.32%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+69.07%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19.24%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2024年年报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74.10亿元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+59.08%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6.92亿元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+140.80%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+144.33%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17.36%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营业收入与归母净利润按同期间官方报表及明确币种列示；调整后盈利与法定利润分别比较。表中营业收入、归母净利润共6项，6项与发行人定期报告原文逐项比对一致。同比增速按原文本期、上期数推算了6项，6项与表中一致。</w:t>
      </w:r>
    </w:p>
    <w:p>
      <w:pPr>
        <w:spacing w:after="160" w:line="300"/>
      </w:pPr>
      <w:r>
        <w:rPr>
          <w:sz w:val="22"/>
          <w:szCs w:val="22"/>
        </w:rPr>
        <w:t xml:space="preserve">中报增长提速，公告称算力业务放量并带动存储、再制造增长；财务费用同比增714.48%，反映算力扩张对融资的依赖。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3.2 财务健康检查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000"/>
        <w:gridCol w:w="1100"/>
        <w:gridCol w:w="44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判断</w:t>
            </w:r>
          </w:p>
        </w:tc>
        <w:tc>
          <w:tcPr>
            <w:tcW w:type="dxa" w:w="4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加权ROE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34.31%（2026中报）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盈利能力较强。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资产负债率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86.79%（2026中报）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杠杆水平高，较2025年末进一步上升。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经营现金流净额/净利润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1.00（2026中报）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经营现金流与净利润基本匹配。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流动比率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0.90（2026中报）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低于1，短期偿债缓冲偏弱。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利息保障倍数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5.0倍（2026中报）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一般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当前利息覆盖尚可，但融资规模扩大。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四、估值与市场预期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 估值水平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000"/>
        <w:gridCol w:w="2900"/>
        <w:gridCol w:w="28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自身历史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同行对比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PE(TTM)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39.13倍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近5.2年39%分位（中位数43.09倍）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中位数9.36倍（江波龙9.36、德明利9.82、佰维存储8.91）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PB(MRQ)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16.59倍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近5.2年88%分位（中位数4.97倍）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中位数6.04倍（江波龙6.04、德明利6.85、佰维存储5.78）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PS(TTM)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5.08倍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近5.2年83%分位（中位数2.45倍）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中位数3.06倍（江波龙3.06、德明利2.84、佰维存储3.20）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估值倍数由程序按2026-10-15收盘数据计算（滚动十二个月口径）；同行倍数按2026-10-15收盘数据同口径计算</w:t>
      </w:r>
    </w:p>
    <w:p>
      <w:pPr>
        <w:spacing w:after="160" w:line="300"/>
      </w:pPr>
      <w:r>
        <w:rPr>
          <w:sz w:val="22"/>
          <w:szCs w:val="22"/>
        </w:rPr>
        <w:t xml:space="preserve">市场隐含预期：以当前39.13倍市盈率计，若投资者要求年化8%的回报、10年后按15倍市盈率估值，每股收益需年均增长约18.9%（不计分红，偏保守），短期机构净利润预测与该长期每股收益增速的期限及口径不同，不能直接比较高低。</w:t>
      </w:r>
    </w:p>
    <w:p>
      <w:pPr>
        <w:spacing w:after="160" w:line="300"/>
      </w:pPr>
      <w:r>
        <w:rPr>
          <w:sz w:val="22"/>
          <w:szCs w:val="22"/>
        </w:rPr>
        <w:t xml:space="preserve">现价在给定回报及退出PE假设下隐含10年EPS年均增长18.9%，与机构短期净利润预测的期限及指标不同，不能直接比较高低。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4.2 一致预期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400"/>
        <w:gridCol w:w="2200"/>
        <w:gridCol w:w="1900"/>
        <w:gridCol w:w="19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净利润增速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每股收益(EPS)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2026E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305.13亿元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45.73亿元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+292.7%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9.37元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2027E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562.36亿元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87.43亿元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+91.2%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17.90元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2028E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749.71亿元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116.97亿元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+33.8%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23.95元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东方财富近六个月研报汇总，截至2026-10-16。可见机构研报明细，评级人数另计：2026E净利润3家、EPS3家；2027E净利润3家、EPS3家；2028E净利润3家、EPS3家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4.3 机构观点</w:t>
      </w:r>
    </w:p>
    <w:p>
      <w:pPr>
        <w:spacing w:after="160" w:line="300"/>
      </w:pPr>
      <w:r>
        <w:rPr>
          <w:sz w:val="22"/>
          <w:szCs w:val="22"/>
        </w:rPr>
        <w:t xml:space="preserve">暂无可引用的机构目标价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600"/>
        <w:gridCol w:w="2000"/>
        <w:gridCol w:w="39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机构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评级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日期</w:t>
            </w:r>
          </w:p>
        </w:tc>
        <w:tc>
          <w:tcPr>
            <w:tcW w:type="dxa" w:w="3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备注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山西证券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2026-09-03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2026E归母净利润55.20亿元，EPS 11.28元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国海证券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2026-08-18</w:t>
            </w:r>
          </w:p>
        </w:tc>
        <w:tc>
          <w:tcPr>
            <w:tcW w:type="dxa" w:w="3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2026E归母净利润51.90亿元，EPS 10.61元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华创证券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2026-05-08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2026E归母净利润30.09亿元，EPS 6.21元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五、催化剂与近期事件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5.1 未来关键节点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000"/>
        <w:gridCol w:w="47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时间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事件</w:t>
            </w:r>
          </w:p>
        </w:tc>
        <w:tc>
          <w:tcPr>
            <w:tcW w:type="dxa" w:w="4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看点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2026-10-26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约1,453.20万股限售股解禁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关注实际解禁数量及股东减持情况；集中减持可能增加短期供给压力。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2026-10-27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预约披露2026年三季报</w:t>
            </w:r>
          </w:p>
        </w:tc>
        <w:tc>
          <w:tcPr>
            <w:tcW w:type="dxa" w:w="4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关注算力业务增长、毛利率及利润兑现情况，验证增长延续性。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5.2 近期重要事件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2026-10-15 股权激励首次授予落地（中性）</w:t>
      </w:r>
      <w:r>
        <w:rPr>
          <w:sz w:val="22"/>
          <w:szCs w:val="22"/>
        </w:rPr>
        <w:t xml:space="preserve">：股东会通过激励计划，向92人授予391.49万股，价格124.82元/股；2026—2028年营收、净利增长率目标均逐年提高至700%，兑现情况将检验算力业务成长预期。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2026-09-16 80亿元定增申请获受理（中性）</w:t>
      </w:r>
      <w:r>
        <w:rPr>
          <w:sz w:val="22"/>
          <w:szCs w:val="22"/>
        </w:rPr>
        <w:t xml:space="preserve">：深交所受理向特定对象发行申请，拟募资80亿元、不超过1.47亿股，用于智算中心、存储扩产及补流还贷；项目推进可支撑扩张，发行将带来股本摊薄。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2026-10-15 公司回应关联交易质疑（中性）</w:t>
      </w:r>
      <w:r>
        <w:rPr>
          <w:sz w:val="22"/>
          <w:szCs w:val="22"/>
        </w:rPr>
        <w:t xml:space="preserve">：公司称麦塔倍斯已于2026年2月转让，相关采购销售交易独立且定价公允，否认实质控制及利益输送；后续关注是否出现监管问询或处置。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六、多空分歧与风险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6.1 看多理由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存储收入增长28.31%，毛利率同比提高3.86个百分点，显示硬件业务放量伴随盈利改善。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算力及服务收入增长1,727.17%、再制造收入增长169.35%，业务扩张已转化为收入增长，但算力增速受低基数影响。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2026年中报经营现金流与净利润比为1.00，当前利润增长有现金流匹配。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6.2 看空理由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2025年前五大客户占收入46.75%、第一大客户占30.81%，大客户订单变化可能放大营收和利润波动。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2026年中报资产负债率86.79%、流动比率0.90，融资依赖加重时偿债与利息负担可能压缩利润。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公司尚无明确领先优势证据，存储产品直接材料占营业成本89.28%，成本波动可能削弱毛利改善。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6.3 其他风险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拟定增募资80亿元、不超过1.47亿股→发行推进可能摊薄每股收益，若项目回报偏低也会压低资本回报估值。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10月26日约1,453.20万股限售股解禁→若股东集中减持，增加股票供给并加剧估值波动。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关联交易相关质疑若引发监管问询或处置→可能影响业务合作与治理评价，带来估值折价。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七、跟踪清单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200"/>
        <w:gridCol w:w="2800"/>
        <w:gridCol w:w="28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跟踪指标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验证看多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验证看空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算力业务兑现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2025年收入增长1,727.17%，低基数影响显著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后续收入增长伴随毛利率稳定或提升，服务收入与利用率改善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收入增速明显回落且毛利率下滑，未形成持续服务回报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三季报利润与毛利率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预约2026年10月27日披露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营收、归母净利润同比继续增长，毛利率维持25%左右或更高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增速明显放缓且毛利率低于中报25.15%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融资与偿债指标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中报资产负债率86.79%，流动比率0.90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后续负债率回落、流动比率向1以上改善，利息保障倍数维持5倍以上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负债率继续上升、流动比率走低或利息保障倍数下降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经营现金流匹配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中报经营现金流净额/净利润为1.00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后续经营现金流持续覆盖净利润，且应收与存货增速不快于收入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现金流持续低于净利润，且应收或存货增长明显快于收入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八、股价与短线展望（未来一周，情景推演，仅供参考）</w:t>
      </w:r>
    </w:p>
    <w:p>
      <w:pPr>
        <w:spacing w:after="160"/>
      </w:pPr>
      <w:r>
        <w:rPr>
          <w:b/>
          <w:bCs/>
          <w:color w:val="9C5700"/>
          <w:sz w:val="20"/>
          <w:szCs w:val="20"/>
        </w:rPr>
        <w:t xml:space="preserve">⚠️ 以下为基于当前技术与资金面数据的主观情景推演，权重仅作相对参考、并非统计概率；短线波动风险较高。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8.1 技术面概况</w:t>
      </w:r>
    </w:p>
    <w:p>
      <w:pPr>
        <w:spacing w:after="160" w:line="300"/>
      </w:pPr>
      <w:r>
        <w:rPr>
          <w:sz w:val="22"/>
          <w:szCs w:val="22"/>
        </w:rPr>
        <w:t xml:space="preserve">股价跌破布林下轨并低于各周期均线，MACD空头动能增强；RSI6处于低位，存在技术性反弹可能，但近20日低点203元是短线关键观察位。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000"/>
        <w:gridCol w:w="45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4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解读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MA5/MA10/MA20/MA60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MA5 221.84 / MA10 235.61 / MA20 249.59 / MA60 246.11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收盘价低于全部均线，短线偏弱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布林上轨/中轨/下轨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上轨 289.05 / 中轨 249.59 / 下轨 210.13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收盘价低于下轨，处于弱势区间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MACD DIF/DEA/柱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DIF -10.062 / DEA -4.342 / 柱 -11.441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空头动能扩大，柱值较前日走弱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RSI6/RSI14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RSI6 15.9 / RSI14 30.1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短周期超卖，仍需价格企稳确认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近5日/近20日涨跌幅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-12.46%/-20.67%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近期跌势明显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8.2 关键价位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200"/>
        <w:gridCol w:w="5900"/>
      </w:tblGrid>
      <w:tr>
        <w:trPr>
          <w:tblHeader/>
        </w:trPr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位置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区间</w:t>
            </w:r>
          </w:p>
        </w:tc>
        <w:tc>
          <w:tcPr>
            <w:tcW w:type="dxa" w:w="5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短期压力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221.84~235.61元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对应MA5至MA10，反弹受阻或延续弱势；放量站上可看向更高均线区。</w:t>
            </w:r>
          </w:p>
        </w:tc>
      </w:tr>
      <w:tr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第一支撑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203~210.13元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对应近20日低点及布林下轨；失守203元将削弱短线企稳依据。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强支撑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91.54~203元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203元下方缺少已给出的近期支撑位，区间下沿参考52周低点；跌破后风险加大。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8.3 按历史波动率测算的一周区间</w:t>
      </w:r>
    </w:p>
    <w:p>
      <w:pPr>
        <w:spacing w:after="160" w:line="300"/>
      </w:pPr>
      <w:r>
        <w:rPr>
          <w:sz w:val="22"/>
          <w:szCs w:val="22"/>
        </w:rPr>
        <w:t xml:space="preserve">以2026-10-15价格205.55元为基准，用近300个交易日的收益分布（按当前指数加权日波动率约4.2%缩放，保留这只股票自身的大涨大跌频率）推算未来5个交易日的收盘价范围：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00"/>
        <w:gridCol w:w="40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覆盖概率</w:t>
            </w:r>
          </w:p>
        </w:tc>
        <w:tc>
          <w:tcPr>
            <w:tcW w:type="dxa" w:w="3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价格区间</w:t>
            </w:r>
          </w:p>
        </w:tc>
        <w:tc>
          <w:tcPr>
            <w:tcW w:type="dxa" w:w="4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相对基准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约68%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189.75～229.23元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-7.7%～+11.5%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约95%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176.88～277.59元</w:t>
            </w:r>
          </w:p>
        </w:tc>
        <w:tc>
          <w:tcPr>
            <w:tcW w:type="dxa" w:w="4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-13.9%～+35.0%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该区间只反映这只股票近期的波动幅度，不含涨跌方向判断；遇到重大公告或大盘急跌，实际走势仍可能超出区间。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8.4 未来一周情景（主观权重，非统计概率）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震荡整理（相对权重中等，约三成）</w:t>
      </w:r>
      <w:r>
        <w:rPr>
          <w:sz w:val="22"/>
          <w:szCs w:val="22"/>
        </w:rPr>
        <w:t xml:space="preserve">：203元附近守稳，股价在203~210.13元间反复，未能收复布林下轨。按历史波动率测算，一周后收盘落在该区间的概率约15%。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偏弱下行（相对权重较高，约四成）</w:t>
      </w:r>
      <w:r>
        <w:rPr>
          <w:sz w:val="22"/>
          <w:szCs w:val="22"/>
        </w:rPr>
        <w:t xml:space="preserve">：若收盘有效跌破203元且成交放大，弱势可能延续；区间下沿参考52周低点。按历史波动率测算，一周后收盘落在该区间的概率约40%。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反弹走强（相对权重偏低，约三成）</w:t>
      </w:r>
      <w:r>
        <w:rPr>
          <w:sz w:val="22"/>
          <w:szCs w:val="22"/>
        </w:rPr>
        <w:t xml:space="preserve">：若守住203元并放量收复210.13元，可能反弹测试221.84元附近压力。按历史波动率测算，一周后收盘落在该区间的概率约20%。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括号内是主观权重；句末的概率由上面的波动率区间反推，只反映波动幅度、不含方向判断。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8.5 资金与流动性</w:t>
      </w:r>
    </w:p>
    <w:p>
      <w:pPr>
        <w:spacing w:after="160" w:line="300"/>
      </w:pPr>
      <w:r>
        <w:rPr>
          <w:sz w:val="22"/>
          <w:szCs w:val="22"/>
        </w:rPr>
        <w:t xml:space="preserve">近10个交易日成交额约15.79亿~39.40亿元、换手率1.46%~3.16%。截至2026-06-30，前十大流通股东合计持有42.18%；包含公募基金及QFII，持股结构披露有滞后，之后可能变化。近期成交活跃度有一定基础，但股东集中度意味着实际流通筹码并非均匀分散。</w:t>
      </w:r>
    </w:p>
    <w:p>
      <w:pPr>
        <w:spacing w:after="160" w:line="300"/>
      </w:pPr>
      <w:r>
        <w:rPr>
          <w:sz w:val="22"/>
          <w:szCs w:val="22"/>
        </w:rPr>
        <w:t xml:space="preserve">若日成交额持续高于近10日区间上沿39.40亿元，且股价收复210.13元，可视为反弹获得量能确认。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以上情景推演基于2026-10-15收盘数据及历史价格、技术指标测算，短期股价还会受消息面、资金面、大盘环境等多重因素扰动，技术指标本身存在滞后性和局限性，不构成对未来实际走势的保证，也不构成买卖建议，请结合最新市场信息独立判断并自行承担投资风险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数据来源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static.cninfo.com.cn（公告PDF） — https://static.cninfo.com.cn/finalpage/2026-03-17/1225012787.PDF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disc.static.szse.cn（公告PDF） — https://disc.static.szse.cn/disc/disk03/finalpage/2026-03-17/de00e67a-e297-4386-a93d-157b53ccea1e.PDF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协创数据(300857)_公司公告_协创数据：2024年年度报告摘要新浪财经_新浪网 — https://vip.stock.finance.sina.com.cn/corp/view/vCB_AllBulletinDetail.php?id=10838603&amp;stockid=300857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协创数据(300857)_公司公告_协创数据：2021年年度报告全文(更新后)新浪财经_新浪网 — https://vip.stock.finance.sina.com.cn/corp/view/vCB_AllBulletinDetail.php?id=8342832&amp;stockid=300857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协创数据技术股份有限公司 2022 年年度报告全文 — https://static.cninfo.com.cn/finalpage/2023-03-28/1216235325.PDF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协创数据(300857)_公司公告_协创数据：2024年年度报告新浪财经_新浪网 — https://money.finance.sina.com.cn/corp/view/vCB_AllBulletinDetail.php?id=10838617&amp;stockid=300857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江波龙(301308)_公司公告_江波龙：2025年年度报告新浪财经_新浪网 — https://money.finance.sina.com.cn/corp/view/vCB_AllBulletinDetail.php?id=12230952&amp;stockid=301308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德明利(001309)_公司公告_德明利：2025年年度报告新浪财经_新浪网 — https://money.finance.sina.com.cn/corp/view/vCB_AllBulletinDetail.php?id=11976038&amp;stockid=001309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2026年半年度报告 — https://static.cninfo.com.cn/finalpage/2026-08-28/1225522065.PDF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2024年年度报告 — https://static.cninfo.com.cn/finalpage/2025-04-01/1222975762.PDF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2023年年度报告 — https://static.cninfo.com.cn/finalpage/2024-03-26/1219404440.PDF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腾讯财经行情（2026-10-16） — https://gu.qq.com/sz300857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东方财富F10 合并资产负债表（2026中报） — https://emweb.securities.eastmoney.com/pc_hsf10/pages/index.html?type=web&amp;code=SZ300857#/cwfx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 F10 盈利预测 — https://emweb.securities.eastmoney.com/pc_hsf10/pages/index.html?type=web&amp;code=SZ300857#/ylyc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协创数据:2026年半年度报告 — https://pdf.dfcfw.com/pdf/H2_AN202608270006754984_1.pdf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协创数据：与麦塔倍斯仅按关联方规则开展业务合作 不存在报道所称的 “实质控制” 情形 — https://news.qq.com/rain/a/20261015A0BNDP00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协创数据：与麦塔倍斯仅按关联方规则开展业务合作 不存在报道所称的 “实质控制” 情形 — https://www.stcn.com/article/detail/4220923.html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协创数据: 2026年第八次临时股东会决议公告-证券之星 — https://wap.stockstar.com/detail/SN2026101600000831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协创数据 — https://vip.stock.finance.sina.com.cn/corp/view/vCB_AllBulletinDetail.php?stockid=300857&amp;id=12644389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协创数据(300857)_公司公告_协创数据：第四届董事会第二十一次会议决议公告新浪财经_新浪网 — https://vip.stock.finance.sina.com.cn/corp/view/vCB_AllBulletinDetail.php?stockid=300857&amp;id=12644369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协创数据：拟向92名激励对象首次授予391.49万股限制性股票 授予价格124.82元/股 — https://news.qq.com/rain/a/20261015A0BYVR00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协创数据最新公告：拟向92名激励对象首次授予391.49万股限制性股票授予价格124.82元/股-证券之星 — https://wap.stockstar.com/detail/RB2026101500034005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协创数据:第四届董事会第二十一次会议决议公告 _ 协创数据(300857) _ 公告正文 — https://data.eastmoney.com/notices/detail/300857/AN202610151830523069,%E5%8D%8F%E5%88%9B%E6%95%B0%E6%8D%AE.html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 个股资金流向 — https://data.eastmoney.com/zjlx/300857.html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 股东研究 — https://emweb.securities.eastmoney.com/pc_hsf10/pages/index.html?type=web&amp;code=SZ300857#/gdyj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本报告由AI基于公开渠道信息自动检索、整理并生成，信息截至 2026-10-15收盘，可能存在时效性差异，具体数据请以公司正式公告及权威数据终端为准。本报告仅为信息整理与研究参考，不构成任何投资建议，投资者应独立判断并自行承担投资风险。</w:t>
      </w:r>
    </w:p>
    <w:sectPr>
      <w:pgSz w:w="11907" w:h="16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qFormat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2026-10-16T05:15:25.276Z</dcterms:created>
  <dcterms:modified xsi:type="dcterms:W3CDTF">2026-10-16T05:15:25.276Z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