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中伟新材料股份有限公司（证券简称：中伟新材） (300919)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行业：新能源电池材料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截至2026年9月11日收盘；均线、MACD、RSI及布林带完整可核验数据截至2026年9月1日，存在约7个交易日滞后；股东集中度数据截至2026年3月31日，股东户数数据截至2026年6月30日。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伟新材2026年上半年业绩明显修复：实现营业收入335.84亿元，同比增长57.51%；归母净利润13.03亿元，同比增长77.80%；扣非归母净利润12.55亿元，同比增长92.07%，利润增速高于收入增速，综合毛利率约13.32%，较2025年盈利能力有所改善。公司2025年全年收入481.40亿元、归母净利润15.67亿元，电池材料合计销量超过42万吨，业务规模仍处于扩张阶段。</w:t>
      </w:r>
    </w:p>
    <w:p>
      <w:pPr>
        <w:spacing w:after="160" w:line="300"/>
      </w:pPr>
      <w:r>
        <w:rPr>
          <w:sz w:val="22"/>
          <w:szCs w:val="22"/>
        </w:rPr>
        <w:t xml:space="preserve">公司以三元前驱体和钴系前驱体为传统优势，同时向镍、磷、锂资源及冶炼、磷系和钠系材料、海外本地化生产及回收环节延伸。2025年三元前驱体收入166.76亿元、新能源金属收入178.08亿元，收入结构中新能源金属占比较高；公司披露2025年三元前驱体市场份额约24%、连续6年保持行业第一，四氧化三钴市场份额亦连续6年行业第一，但相关份额为公司引用的第三方统计口径。</w:t>
      </w:r>
    </w:p>
    <w:p>
      <w:pPr>
        <w:spacing w:after="160" w:line="300"/>
      </w:pPr>
      <w:r>
        <w:rPr>
          <w:sz w:val="22"/>
          <w:szCs w:val="22"/>
        </w:rPr>
        <w:t xml:space="preserve">盈利改善的持续性取决于镍系、钴系和磷系材料销量及盈利修复、印尼镍资源与冶炼降本、高端前驱体放量和海外产能利用率。2026年上半年经营活动现金流净额15.96亿元，同比增长8.13%，低于归母净利润增速；2025年经营现金流同比下降65.16%，同时应收账款和存货规模较高，利润现金转化与营运资金占用仍需跟踪。</w:t>
      </w:r>
    </w:p>
    <w:p>
      <w:pPr>
        <w:spacing w:after="160" w:line="300"/>
      </w:pPr>
      <w:r>
        <w:rPr>
          <w:sz w:val="22"/>
          <w:szCs w:val="22"/>
        </w:rPr>
        <w:t xml:space="preserve">截至2026年9月11日，公司股价收于37.62元，接近52周低点35.51元，短期价格低于截至9月1日可核验的MA5、MA10、MA20及布林带下轨参考区间，技术形态偏弱；但RSI处于中性区间，尚不能据此确认极端超卖。近期成交额温和放大但换手率仅0.90%，短线资金承接信号仍不充分。</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300919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贵州省铜仁市大龙经济开发区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H股代码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2579（2025年年度报告披露）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主要采用公司2025年年度报告及同行公司2025年年度报告，数据截至2025年12月31日；报告披露时间主要为2026年3月至4月。</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481.40亿元，同比增长19.68%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15.67亿元，同比增长6.84%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2025年电池材料合计销售量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超过42万吨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镍系材料：高镍、超高镍三元前驱体、固态电池前驱体、低空经济用高镍前驱体、中镍高电压前驱体等</w:t>
      </w:r>
    </w:p>
    <w:p>
      <w:pPr>
        <w:pStyle w:val="ListParagraph"/>
        <w:numPr>
          <w:ilvl w:val="0"/>
          <w:numId w:val="2"/>
        </w:numPr>
        <w:spacing w:after="80" w:line="280"/>
      </w:pPr>
      <w:r>
        <w:rPr>
          <w:sz w:val="22"/>
          <w:szCs w:val="22"/>
        </w:rPr>
        <w:t xml:space="preserve">钴系材料：四氧化三钴及高电压钴系前驱体，主要用于钴酸锂电池及消费电子领域</w:t>
      </w:r>
    </w:p>
    <w:p>
      <w:pPr>
        <w:pStyle w:val="ListParagraph"/>
        <w:numPr>
          <w:ilvl w:val="0"/>
          <w:numId w:val="2"/>
        </w:numPr>
        <w:spacing w:after="80" w:line="280"/>
      </w:pPr>
      <w:r>
        <w:rPr>
          <w:sz w:val="22"/>
          <w:szCs w:val="22"/>
        </w:rPr>
        <w:t xml:space="preserve">磷系材料：磷酸铁、磷酸铁锂，主要用于动力电池和储能电池</w:t>
      </w:r>
    </w:p>
    <w:p>
      <w:pPr>
        <w:pStyle w:val="ListParagraph"/>
        <w:numPr>
          <w:ilvl w:val="0"/>
          <w:numId w:val="2"/>
        </w:numPr>
        <w:spacing w:after="80" w:line="280"/>
      </w:pPr>
      <w:r>
        <w:rPr>
          <w:sz w:val="22"/>
          <w:szCs w:val="22"/>
        </w:rPr>
        <w:t xml:space="preserve">钠系材料：聚阴离子钠电正极材料、层状氧化物钠电正极材料</w:t>
      </w:r>
    </w:p>
    <w:p>
      <w:pPr>
        <w:pStyle w:val="ListParagraph"/>
        <w:numPr>
          <w:ilvl w:val="0"/>
          <w:numId w:val="2"/>
        </w:numPr>
        <w:spacing w:after="80" w:line="280"/>
      </w:pPr>
      <w:r>
        <w:rPr>
          <w:sz w:val="22"/>
          <w:szCs w:val="22"/>
        </w:rPr>
        <w:t xml:space="preserve">新能源金属：镍中间品、高纯镍板等，可根据市场价格和自身产能在自供材料与对外销售金属产品之间切换</w:t>
      </w:r>
    </w:p>
    <w:p>
      <w:pPr>
        <w:pStyle w:val="ListParagraph"/>
        <w:numPr>
          <w:ilvl w:val="0"/>
          <w:numId w:val="2"/>
        </w:numPr>
        <w:spacing w:after="80" w:line="280"/>
      </w:pPr>
      <w:r>
        <w:rPr>
          <w:sz w:val="22"/>
          <w:szCs w:val="22"/>
        </w:rPr>
        <w:t xml:space="preserve">业务覆盖三元锂电池、钴酸锂电池、磷酸铁锂电池、钠离子电池、固态/半固态电池等路线，应用于新能源汽车、储能、消费电子、低空飞行器和机器人等领域</w:t>
      </w:r>
    </w:p>
    <w:p>
      <w:pPr>
        <w:pStyle w:val="ListParagraph"/>
        <w:numPr>
          <w:ilvl w:val="0"/>
          <w:numId w:val="2"/>
        </w:numPr>
        <w:spacing w:after="80" w:line="280"/>
      </w:pPr>
      <w:r>
        <w:rPr>
          <w:sz w:val="22"/>
          <w:szCs w:val="22"/>
        </w:rPr>
        <w:t xml:space="preserve">2025年收入结构：三元前驱体166.76亿元，占34.64%；四氧化三钴43.96亿元，占9.13%；磷酸铁/磷酸铁锂15.65亿元，占3.25%；新能源金属178.08亿元，占36.99%；其他业务76.61亿元，占15.91%</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基础定位是锂电池正极材料前驱体和正极材料制造商，处于锂电产业链中游偏核心环节；同时向上游镍、磷、锂等资源及冶炼环节延伸，并布局下游正极材料和电池回收，形成“资源开采—冶炼加工—电池材料—回收利用”的纵向一体化布局。前驱体性能会较大程度被正极材料继承，因此该环节具有较高的技术、资本投入和客户认证要求。</w:t>
      </w:r>
    </w:p>
    <w:p>
      <w:pPr>
        <w:pStyle w:val="ListParagraph"/>
        <w:numPr>
          <w:ilvl w:val="0"/>
          <w:numId w:val="2"/>
        </w:numPr>
        <w:spacing w:after="80" w:line="280"/>
      </w:pPr>
      <w:r>
        <w:rPr>
          <w:sz w:val="22"/>
          <w:szCs w:val="22"/>
        </w:rPr>
        <w:t xml:space="preserve">主要采购红土镍矿、MHP、低冰镍、高冰镍等镍中间品、钴中间品、硫酸锰、氯化钴、磷酸、硫酸亚铁及其他辅料。</w:t>
      </w:r>
    </w:p>
    <w:p>
      <w:pPr>
        <w:pStyle w:val="ListParagraph"/>
        <w:numPr>
          <w:ilvl w:val="0"/>
          <w:numId w:val="2"/>
        </w:numPr>
        <w:spacing w:after="80" w:line="280"/>
      </w:pPr>
      <w:r>
        <w:rPr>
          <w:sz w:val="22"/>
          <w:szCs w:val="22"/>
        </w:rPr>
        <w:t xml:space="preserve">镍中间品、钴中间品、硫酸锰等采购价格主要参考上海有色网现货价格、伦敦金属交易所等市场价格，公司对大宗金属原料总体具有较强的价格接受者特征。</w:t>
      </w:r>
    </w:p>
    <w:p>
      <w:pPr>
        <w:pStyle w:val="ListParagraph"/>
        <w:numPr>
          <w:ilvl w:val="0"/>
          <w:numId w:val="2"/>
        </w:numPr>
        <w:spacing w:after="80" w:line="280"/>
      </w:pPr>
      <w:r>
        <w:rPr>
          <w:sz w:val="22"/>
          <w:szCs w:val="22"/>
        </w:rPr>
        <w:t xml:space="preserve">2025年锂电正极前驱体业务直接材料成本占该业务营业成本82.94%，新能源金属业务直接材料成本占营业成本71.83%，成本结构高度依赖金属原料价格。</w:t>
      </w:r>
    </w:p>
    <w:p>
      <w:pPr>
        <w:pStyle w:val="ListParagraph"/>
        <w:numPr>
          <w:ilvl w:val="0"/>
          <w:numId w:val="2"/>
        </w:numPr>
        <w:spacing w:after="80" w:line="280"/>
      </w:pPr>
      <w:r>
        <w:rPr>
          <w:sz w:val="22"/>
          <w:szCs w:val="22"/>
        </w:rPr>
        <w:t xml:space="preserve">公司通过投资、参股、长期协议及包销等方式锁定超过6亿湿吨红土镍矿资源供应，并在印尼形成约20万金吨红土镍矿冶炼产能；镍产品可在镍铁、低冰镍、高冰镍、电解镍、高纯镍板之间转换。</w:t>
      </w:r>
    </w:p>
    <w:p>
      <w:pPr>
        <w:pStyle w:val="ListParagraph"/>
        <w:numPr>
          <w:ilvl w:val="0"/>
          <w:numId w:val="2"/>
        </w:numPr>
        <w:spacing w:after="80" w:line="280"/>
      </w:pPr>
      <w:r>
        <w:rPr>
          <w:sz w:val="22"/>
          <w:szCs w:val="22"/>
        </w:rPr>
        <w:t xml:space="preserve">公司在贵州开阳拥有约9844万吨磷矿资源量，规划年开采规模280万吨；通过控股Jama项目、Solaroz项目等布局阿根廷盐湖锂资源，掌控的锂资源量折合碳酸锂当量超过1000万吨。上述锂资源量不等同于已经形成可采储量、实际产量或当期盈利能力。</w:t>
      </w:r>
    </w:p>
    <w:p>
      <w:pPr>
        <w:pStyle w:val="ListParagraph"/>
        <w:numPr>
          <w:ilvl w:val="0"/>
          <w:numId w:val="2"/>
        </w:numPr>
        <w:spacing w:after="80" w:line="280"/>
      </w:pPr>
      <w:r>
        <w:rPr>
          <w:sz w:val="22"/>
          <w:szCs w:val="22"/>
        </w:rPr>
        <w:t xml:space="preserve">前五大供应商采购额109.93亿元，占2025年度采购总额22.70%。纪要未披露供应商名称及该集中度的进一步历史对比。</w:t>
      </w:r>
    </w:p>
    <w:p>
      <w:pPr>
        <w:pStyle w:val="ListParagraph"/>
        <w:numPr>
          <w:ilvl w:val="0"/>
          <w:numId w:val="2"/>
        </w:numPr>
        <w:spacing w:after="80" w:line="280"/>
      </w:pPr>
      <w:r>
        <w:rPr>
          <w:sz w:val="22"/>
          <w:szCs w:val="22"/>
        </w:rPr>
        <w:t xml:space="preserve">直接客户主要包括国内外正极材料厂商、锂电池制造商和新能源汽车厂商；公司披露已与特斯拉、LG化学、三星SDI、POSCO、SK On、宁德时代、比亚迪、中创新航、欣旺达、松下、当升科技、容百科技、贝特瑞、厦门钨业、ECOPRO、L&amp;F等产业链企业建立合作关系。</w:t>
      </w:r>
    </w:p>
    <w:p>
      <w:pPr>
        <w:pStyle w:val="ListParagraph"/>
        <w:numPr>
          <w:ilvl w:val="0"/>
          <w:numId w:val="2"/>
        </w:numPr>
        <w:spacing w:after="80" w:line="280"/>
      </w:pPr>
      <w:r>
        <w:rPr>
          <w:sz w:val="22"/>
          <w:szCs w:val="22"/>
        </w:rPr>
        <w:t xml:space="preserve">公司通常采用“原材料成本加加工费”的定价模式：金属盐原材料部分按市场价格计价，加工费根据工艺、供需、目标利润和客户议价确定。</w:t>
      </w:r>
    </w:p>
    <w:p>
      <w:pPr>
        <w:pStyle w:val="ListParagraph"/>
        <w:numPr>
          <w:ilvl w:val="0"/>
          <w:numId w:val="2"/>
        </w:numPr>
        <w:spacing w:after="80" w:line="280"/>
      </w:pPr>
      <w:r>
        <w:rPr>
          <w:sz w:val="22"/>
          <w:szCs w:val="22"/>
        </w:rPr>
        <w:t xml:space="preserve">原材料价格大部分可以向下游传导，但公司可获取的差异化利润主要来自加工费、工艺能力、产品性能、良率、客户认证和规模化制造；行业产能过剩或下游客户议价能力较强时，加工费可能受到压缩。</w:t>
      </w:r>
    </w:p>
    <w:p>
      <w:pPr>
        <w:pStyle w:val="ListParagraph"/>
        <w:numPr>
          <w:ilvl w:val="0"/>
          <w:numId w:val="2"/>
        </w:numPr>
        <w:spacing w:after="80" w:line="280"/>
      </w:pPr>
      <w:r>
        <w:rPr>
          <w:sz w:val="22"/>
          <w:szCs w:val="22"/>
        </w:rPr>
        <w:t xml:space="preserve">前五大客户销售额176.99亿元，占2025年度销售总额36.77%；第一大客户占比13.36%。该数据为2025年度数据，客户名称以客户A—客户E匿名披露，无法仅凭年报确认其与宁德时代、LG化学、特斯拉等具体公司的对应关系，且上述合作企业名单不应与前五大客户名单一一对应。</w:t>
      </w:r>
    </w:p>
    <w:p>
      <w:pPr>
        <w:pStyle w:val="ListParagraph"/>
        <w:numPr>
          <w:ilvl w:val="0"/>
          <w:numId w:val="2"/>
        </w:numPr>
        <w:spacing w:after="80" w:line="280"/>
      </w:pPr>
      <w:r>
        <w:rPr>
          <w:sz w:val="22"/>
          <w:szCs w:val="22"/>
        </w:rPr>
        <w:t xml:space="preserve">下游客户多为大型电池、正极材料或整车企业，具备较强采购议价能力；公司与大型电池企业同时具有客户、合作伙伴及潜在纵向整合竞争者等多重关系。</w:t>
      </w:r>
    </w:p>
    <w:p>
      <w:pPr>
        <w:pStyle w:val="ListParagraph"/>
        <w:numPr>
          <w:ilvl w:val="0"/>
          <w:numId w:val="2"/>
        </w:numPr>
        <w:spacing w:after="80" w:line="280"/>
      </w:pPr>
      <w:r>
        <w:rPr>
          <w:sz w:val="22"/>
          <w:szCs w:val="22"/>
        </w:rPr>
        <w:t xml:space="preserve">截至2025年末，应收账款余额66.33亿元，占总资产8.13%，约相当于2025年营业收入的13.78%；存货146.64亿元，占总资产17.97%，约相当于营业收入的30.46%。2025年经营活动现金流净额13.74亿元，同比下降65.16%，低于归母净利润15.67亿元，公司披露主要原因是采购付款增加。应收账款和存货均较2024年末增长，显示金属原料、在产品和库存带来的营运资金占用较为明显。</w:t>
      </w:r>
    </w:p>
    <w:p>
      <w:pPr>
        <w:pStyle w:val="ListParagraph"/>
        <w:numPr>
          <w:ilvl w:val="0"/>
          <w:numId w:val="2"/>
        </w:numPr>
        <w:spacing w:after="80" w:line="280"/>
      </w:pPr>
      <w:r>
        <w:rPr>
          <w:sz w:val="22"/>
          <w:szCs w:val="22"/>
        </w:rPr>
        <w:t xml:space="preserve">2025年度前五大客户销售额占比为36.77%，第一大客户占比13.36%；前五大供应商采购额占比为22.70%。客户集中度数据有明确年度口径，但客户名称匿名披露，不能将其与公司披露的合作客户名单直接对应；纪要未提供更早年度集中度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约5.68%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引用公开研报数据，存在统计口径差异，建议以公司原始年报财务数据为准。营业收入342.73亿元，归母净利润19.47亿元。三元前驱体出货和产品结构改善，前驱体业务仍是主要利润来源，行业景气度和规模效应相对较好。</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约12.12%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402.23亿元，归母净利润14.67亿元。三元前驱体收入同比下降，新能源金属放量改变收入结构；行业竞争、金属价格波动和新业务爬坡对利润率形成压力。三元前驱体业务毛利率17.85%，新能源金属业务毛利率7.54%。</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约12.34%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约3.26%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481.40亿元，归母净利润15.67亿元。前驱体、四氧化三钴、磷酸铁及新能源金属销量增长，综合毛利率较2024年略有改善；但新能源金属占比提高、财务费用增加、存货跌价损失和海外扩张成本使净利率仍低于2023年。三元前驱体业务毛利率18.67%，新能源金属业务毛利率6.96%。</w:t>
            </w:r>
          </w:p>
        </w:tc>
      </w:tr>
    </w:tbl>
    <w:p>
      <w:pPr>
        <w:spacing w:before="200"/>
      </w:pPr>
    </w:p>
    <w:p>
      <w:pPr>
        <w:spacing w:after="160" w:line="300"/>
      </w:pPr>
      <w:r>
        <w:rPr>
          <w:sz w:val="22"/>
          <w:szCs w:val="22"/>
        </w:rPr>
        <w:t xml:space="preserve">公司处于锂电产业链中游的核心材料环节，传统三元前驱体和钴系前驱体属于技术、认证和规模壁垒较高但加工费受竞争影响的中游制造；镍资源、磷资源及冶炼布局向上游延伸，高镍、固态前驱体、高电压钴系、磷酸铁锂和钠电材料则代表更高附加值方向。进一步改善利润主要取决于高端材料占比提升、印尼镍资源自供和冶炼降本、磷系材料放量以及全球化产能利用率提升；同时受原材料价格、产能竞争、下游大客户议价和海外项目投入回报影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335.84亿元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同比增长57.51%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归母净利润13.03亿元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同比增长77.80%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213.23亿元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归母净利润7.33亿元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481.40亿元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同比增长19.68%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归母净利润15.67亿元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同比增长6.84%</w:t>
            </w:r>
          </w:p>
        </w:tc>
      </w:tr>
    </w:tbl>
    <w:p>
      <w:pPr>
        <w:spacing w:after="200"/>
      </w:pPr>
      <w:r>
        <w:rPr>
          <w:i/>
          <w:iCs/>
          <w:color w:val="595959"/>
          <w:sz w:val="18"/>
          <w:szCs w:val="18"/>
        </w:rPr>
        <w:t xml:space="preserve">截至2026年6月30日，最新一期财报为《2026年半年度报告》，披露日期为2026年8月25日。2025年度数据来自2025年年度报告。</w:t>
      </w:r>
    </w:p>
    <w:p>
      <w:pPr>
        <w:spacing w:after="160" w:line="300"/>
      </w:pPr>
      <w:r>
        <w:rPr>
          <w:sz w:val="22"/>
          <w:szCs w:val="22"/>
        </w:rPr>
        <w:t xml:space="preserve">2026年上半年扣非归母净利润为12.55亿元，同比增长92.07%，上年同期为6.53亿元；基本每股收益1.23元，同比增长55.70%，加权平均净资产收益率为5.44%，较上年同期提升1.80个百分点。综合毛利率约13.32%，净利率约5.35%，利润增速高于收入增速，盈利能力较2025年同期有所修复。2026年上半年经营活动产生的现金流量净额为15.96亿元，同比增长8.13%，低于归母净利润增速；按纪要中的第三方分析口径，经营活动净现金流/净利润约为0.89，利润现金转化程度仍需观察。2025年经营活动现金流量净额为13.74亿元，同比下降65.16%。</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为截至2026年9月9日同花顺F10汇总口径，近6个月内共有6家机构对2026年度业绩作出预测。当前可直接读取的详细预测表主要展示光大证券和东吴证券两家机构，因此2027—2028年营业收入均值更接近已展示机构预测的平均值，不能完全等同于6家机构的完整收入一致预期。净利润和EPS汇总数据可作为平台口径的一致预期参考值。代表性机构预测方面，东吴证券预计2026—2028年收入分别为604.96亿元、703.49亿元和811.74亿元，归母净利润分别为30.52亿元、36.64亿元和44.02亿元，EPS分别为2.92元、3.51元和4.22元；光大证券预计收入分别为661.36亿元、765.61亿元和891.02亿元，归母净利润分别为30.31亿元、35.73亿元和42.01亿元，EPS分别为2.90元、3.42元和4.02元。部分早期机构预测的2026—2028年归母净利润约为23.6亿元、29.2亿元和35.2亿元，低于近期预测，显示盈利预测对镍价、镍冶炼利润、三元前驱体出货量及磷系材料盈利修复较为敏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平均预测约633.16亿元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平均预测28.62亿元，区间25.04亿—30.52亿元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相较2025年归母净利润15.67亿元，按平均预测计算约为82.45%；纪要未直接披露平台统计的同比增速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平均预测2.74元，区间2.40—2.92元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平均预测约734.55亿元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平均预测34.76亿元，区间30.22亿—38.50亿元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相较2026年平均预测28.62亿元，按平均预测计算约为21.45%；纪要未直接披露平台统计的同比增速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平均预测3.33元，区间2.90—3.69元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平均预测约851.38亿元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平均预测41.44亿元，区间34.83亿—45.70亿元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相较2027年平均预测34.76亿元，按平均预测计算约为19.22%；纪要未直接披露平台统计的同比增速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平均预测3.97元，区间3.34—4.39元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买入；目标价73元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预计2026—2028年归母净利润约30.52亿元、36.64亿元和44.02亿元。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买入；目标价不超过67.16元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预计2026年归母净利润约30.46亿元。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买入；未披露目标价</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预计2026年归母净利润约25.04亿元。</w:t>
            </w:r>
          </w:p>
        </w:tc>
      </w:tr>
    </w:tbl>
    <w:p>
      <w:pPr>
        <w:spacing w:before="200"/>
      </w:pPr>
    </w:p>
    <w:p>
      <w:pPr>
        <w:spacing w:after="160" w:line="300"/>
      </w:pPr>
      <w:r>
        <w:rPr>
          <w:sz w:val="22"/>
          <w:szCs w:val="22"/>
        </w:rPr>
        <w:t xml:space="preserve">估值数据截至2026年9月11日收盘：收盘价37.62元，总市值约392.93亿元，PB约1.67倍，动态PE约18.4—18.9倍。理杏仁截至2026年9月10日显示PE-TTM约18.89倍、PB约1.72倍，PE处于历史分位约37.60%，低于历史中位数约20.44倍；大波浪数据显示PE-TTM约18.9倍、PB约1.72倍。按同花顺机构平均EPS预测，2026—2028年预测PE约13.7倍、11.3倍和9.5倍；按平均归母净利润预测，对应市值/净利润倍数亦约为13.7倍、11.3倍和9.5倍。按东吴证券2026年EPS 2.92元计算，当前股价对应2026年PE约12.9倍；按其73元目标价计算，对应2026年预测PE约25倍。近6个月约有4家机构发布相关研究报告，目标价区间约67—73元，平均目标价约69.05元，评级以买入为主；另有平台混合统计较早期或不同时间点数据，平均目标价约55.92元，最低43.05元、最高73元，参考时应优先关注2026年8月中报后更新的研报。整体看，公司2026年上半年业绩处于明显修复阶段，若机构盈利预测实现，前瞻PE将低于当前TTM估值；但机构预测差异较大，2026年归母净利润预测区间为25.04亿—30.52亿元，实际业绩仍取决于镍价、金属冶炼利润、三元前驱体出货量、磷系材料盈利修复、原材料价格、海外业务、汇率及行业供需变化。2025年经营现金流同比下降65.16%，2026年上半年经营现金流增幅也明显低于归母净利润增幅，利润现金含量需持续跟踪。</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2026年第三次临时股东会将审议四项议案</w:t>
      </w:r>
    </w:p>
    <w:p>
      <w:pPr>
        <w:spacing w:after="160" w:line="300"/>
      </w:pPr>
      <w:r>
        <w:rPr>
          <w:sz w:val="22"/>
          <w:szCs w:val="22"/>
        </w:rPr>
        <w:t xml:space="preserve">中伟新材拟于2026年9月16日14:30召开2026年第三次临时股东会，股权登记日为2026年9月10日。会议将审议：2026年中期分红方案、增发公司A股或H股股份新一般性授权、向参股公司提供财务资助、变更H股募集资金使用用途。相关事项源于公司2026年8月24日召开的第三届董事会第五次会议，并于2026年8月25日披露公告。截至2026年9月13日，相关议案尚未完成股东会审议。</w:t>
      </w:r>
    </w:p>
    <w:p>
      <w:pPr>
        <w:pStyle w:val="Heading2"/>
        <w:spacing w:after="120" w:before="240"/>
      </w:pPr>
      <w:r>
        <w:rPr>
          <w:b/>
          <w:bCs/>
          <w:color w:val="2E74B5"/>
          <w:sz w:val="24"/>
          <w:szCs w:val="24"/>
        </w:rPr>
        <w:t xml:space="preserve">4.2 拟实施2026年中期分红</w:t>
      </w:r>
    </w:p>
    <w:p>
      <w:pPr>
        <w:spacing w:after="160" w:line="300"/>
      </w:pPr>
      <w:r>
        <w:rPr>
          <w:sz w:val="22"/>
          <w:szCs w:val="22"/>
        </w:rPr>
        <w:t xml:space="preserve">公司董事会于2026年8月24日审议通过2026年中期分红方案，拟以实施分红股权登记日扣除回购专户股份后的总股本为基数，每10股派发现金红利3.8元（含税），不送红股，不进行资本公积金转增。按照公告披露日扣除回购股份后的股本1,014,633,340股测算，预计派发现金股利约3.856亿元，资金来源为公司自有资金。方案尚需提交2026年第三次临时股东会审议，实际派发金额可能因股权登记日前回购、股权激励行权等情况调整。</w:t>
      </w:r>
    </w:p>
    <w:p>
      <w:pPr>
        <w:pStyle w:val="Heading2"/>
        <w:spacing w:after="120" w:before="240"/>
      </w:pPr>
      <w:r>
        <w:rPr>
          <w:b/>
          <w:bCs/>
          <w:color w:val="2E74B5"/>
          <w:sz w:val="24"/>
          <w:szCs w:val="24"/>
        </w:rPr>
        <w:t xml:space="preserve">4.3 2026年半年度业绩保持增长</w:t>
      </w:r>
    </w:p>
    <w:p>
      <w:pPr>
        <w:spacing w:after="160" w:line="300"/>
      </w:pPr>
      <w:r>
        <w:rPr>
          <w:sz w:val="22"/>
          <w:szCs w:val="22"/>
        </w:rPr>
        <w:t xml:space="preserve">公司2026年半年度实现归属于上市公司股东的净利润约13.03亿元，母公司实现净利润约12.22亿元；扣除非经常性损益后的净利润约12.55亿元。归母净利润同比增长约77.80%，扣除非经常性损益后的净利润同比增长约92.07%。截至2026年6月30日，公司合并报表可供分配利润约65.52亿元，母公司可供分配利润约33.13亿元。上述半年度报告数据未经审计，且不属于2026年9月新增业绩预告。</w:t>
      </w:r>
    </w:p>
    <w:p>
      <w:pPr>
        <w:pStyle w:val="Heading2"/>
        <w:spacing w:after="120" w:before="240"/>
      </w:pPr>
      <w:r>
        <w:rPr>
          <w:b/>
          <w:bCs/>
          <w:color w:val="2E74B5"/>
          <w:sz w:val="24"/>
          <w:szCs w:val="24"/>
        </w:rPr>
        <w:t xml:space="preserve">4.4 暂无新的回购计划</w:t>
      </w:r>
    </w:p>
    <w:p>
      <w:pPr>
        <w:spacing w:after="160" w:line="300"/>
      </w:pPr>
      <w:r>
        <w:rPr>
          <w:sz w:val="22"/>
          <w:szCs w:val="22"/>
        </w:rPr>
        <w:t xml:space="preserve">截至2026年9月13日，未检索到公司在2026年9月启动新回购计划或披露新的回购进展。公司于2026年8月28日在投资者互动平台回复称，目前“暂无回购计划”，后续将结合市场环境、经营状况及资金安排，动态评估各类市值管理工具。此前根据2025年年度报告披露，截至2025年10月15日，公司累计回购股份22,958,992股，约占当时总股本的2.45%，累计成交金额约7.97亿元，回购方案已经完成。</w:t>
      </w:r>
    </w:p>
    <w:p>
      <w:pPr>
        <w:pStyle w:val="Heading2"/>
        <w:spacing w:after="120" w:before="240"/>
      </w:pPr>
      <w:r>
        <w:rPr>
          <w:b/>
          <w:bCs/>
          <w:color w:val="2E74B5"/>
          <w:sz w:val="24"/>
          <w:szCs w:val="24"/>
        </w:rPr>
        <w:t xml:space="preserve">4.5 拟向参股公司SSP提供不超过680万美元财务资助</w:t>
      </w:r>
    </w:p>
    <w:p>
      <w:pPr>
        <w:spacing w:after="160" w:line="300"/>
      </w:pPr>
      <w:r>
        <w:rPr>
          <w:sz w:val="22"/>
          <w:szCs w:val="22"/>
        </w:rPr>
        <w:t xml:space="preserve">公司拟按34%的持股比例，向参股公司PT Sinerai Setia Pratiwi（SSP）提供不超过680万美元或等值人民币的借款，期限不超过12个月，借款利率不超过10%，额度可在协议有效期内循环滚动使用，各股东按照持股比例向SSP提供资金支持。该事项主要用于保障SSP正常生产经营，推进产业链一体化布局，强化煤质检测和源头质量管控，尚需提交股东会审议。公告称，本事项不构成关联交易，也不构成重大资产重组。若按680万美元上限提供财务资助，公司及控股子公司对合并报表外单位提供财务资助余额将达到约40,271万美元，占公司最近一期经审计净资产的11.58%；公司披露不存在财务资助逾期未收回情况。</w:t>
      </w:r>
    </w:p>
    <w:p>
      <w:pPr>
        <w:pStyle w:val="Heading2"/>
        <w:spacing w:after="120" w:before="240"/>
      </w:pPr>
      <w:r>
        <w:rPr>
          <w:b/>
          <w:bCs/>
          <w:color w:val="2E74B5"/>
          <w:sz w:val="24"/>
          <w:szCs w:val="24"/>
        </w:rPr>
        <w:t xml:space="preserve">4.6 拟调整H股募集资金用途</w:t>
      </w:r>
    </w:p>
    <w:p>
      <w:pPr>
        <w:spacing w:after="160" w:line="300"/>
      </w:pPr>
      <w:r>
        <w:rPr>
          <w:sz w:val="22"/>
          <w:szCs w:val="22"/>
        </w:rPr>
        <w:t xml:space="preserve">公司拟变更H股全球发售募集资金的部分用途，将原计划用于韩国生产基地项目的约12.014亿港元募集资金调整至贵州开阳磷矿项目及磷系一体化产业三期项目。公司表示，调整主要基于当前市场环境、行业发展趋势、项目实际建设进度及资金投入优先顺序，以提高H股募集资金使用效率；同时该调整不改变集团长期发展战略及镍系材料业务发展方向。该事项尚需提交临时股东会审议。</w:t>
      </w:r>
    </w:p>
    <w:p>
      <w:pPr>
        <w:pStyle w:val="Heading2"/>
        <w:spacing w:after="120" w:before="240"/>
      </w:pPr>
      <w:r>
        <w:rPr>
          <w:b/>
          <w:bCs/>
          <w:color w:val="2E74B5"/>
          <w:sz w:val="24"/>
          <w:szCs w:val="24"/>
        </w:rPr>
        <w:t xml:space="preserve">4.7 拟申请A股或H股发行一般性授权</w:t>
      </w:r>
    </w:p>
    <w:p>
      <w:pPr>
        <w:spacing w:after="160" w:line="300"/>
      </w:pPr>
      <w:r>
        <w:rPr>
          <w:sz w:val="22"/>
          <w:szCs w:val="22"/>
        </w:rPr>
        <w:t xml:space="preserve">公司拟提请股东会批准新的A股或H股发行一般性授权，授权董事会在授权期限内单独或同时发行不超过现有已发行A股或H股各自数量20%的股份，或可转换为相关股份的证券、购股权、认股权证等类似权益。授权用途包括潜在战略布局、项目投资、优化股东结构及补充日常运营资金等。该议案属于特别决议事项，需要出席股东所持表决权三分之二以上通过。一般性授权不等于公司已经确定发行股份，若未来实际发行，可能带来股本扩张和摊薄效应。</w:t>
      </w:r>
    </w:p>
    <w:p>
      <w:pPr>
        <w:pStyle w:val="Heading2"/>
        <w:spacing w:after="120" w:before="240"/>
      </w:pPr>
      <w:r>
        <w:rPr>
          <w:b/>
          <w:bCs/>
          <w:color w:val="2E74B5"/>
          <w:sz w:val="24"/>
          <w:szCs w:val="24"/>
        </w:rPr>
        <w:t xml:space="preserve">4.8 机构调研及公司经营动态</w:t>
      </w:r>
    </w:p>
    <w:p>
      <w:pPr>
        <w:spacing w:after="160" w:line="300"/>
      </w:pPr>
      <w:r>
        <w:rPr>
          <w:sz w:val="22"/>
          <w:szCs w:val="22"/>
        </w:rPr>
        <w:t xml:space="preserve">公司于2026年8月26日披露投资者关系活动记录表，接待华宝基金、东方资产、诺德基金、朱雀基金、太保资产、高毅资产、摩根士丹利、野村证券、中信证券、中金证券、华泰证券等百余家机构。公司在交流中表示，2026年上半年镍系、钴系、磷系、钠系电池材料合计销量突破25万吨；摩洛哥4万吨产能已正式投产，主要服务欧美客户；德国回收合资公司已开始运作；公司将通过摩洛哥、印尼两大海外基地构建海外供应链；固态前驱体出货量达到百吨级，并已在固态电池、机器人、低空飞行器等应用领域形成一定先发优势。上述信息来自投资者关系活动记录表及互动平台，属于公司管理层交流和口径表述，不等同于已经审计或独立验证的经营预测。</w:t>
      </w:r>
    </w:p>
    <w:p>
      <w:pPr>
        <w:pStyle w:val="Heading2"/>
        <w:spacing w:after="120" w:before="240"/>
      </w:pPr>
      <w:r>
        <w:rPr>
          <w:b/>
          <w:bCs/>
          <w:color w:val="2E74B5"/>
          <w:sz w:val="24"/>
          <w:szCs w:val="24"/>
        </w:rPr>
        <w:t xml:space="preserve">4.9 股东及监管事项暂未发现重大新增公告</w:t>
      </w:r>
    </w:p>
    <w:p>
      <w:pPr>
        <w:spacing w:after="160" w:line="300"/>
      </w:pPr>
      <w:r>
        <w:rPr>
          <w:sz w:val="22"/>
          <w:szCs w:val="22"/>
        </w:rPr>
        <w:t xml:space="preserve">截至2026年9月13日，未检索到2026年9月公司控股股东、实际控制人或主要股东新增减持、增持、质押或权益变动公告；未发现针对2026年三季度发布新的业绩预告、业绩预增或业绩预减公告；亦未检索到公司收到监管处罚、纪律处分、立案调查或重大问询函的公开公告。本次未发现2026年9月新增并购公告，但不排除部分信息尚未在搜索引擎或第三方公告镜像中完整收录。</w:t>
      </w:r>
    </w:p>
    <w:p>
      <w:pPr>
        <w:pStyle w:val="Heading2"/>
        <w:spacing w:after="120" w:before="240"/>
      </w:pPr>
      <w:r>
        <w:rPr>
          <w:b/>
          <w:bCs/>
          <w:color w:val="2E74B5"/>
          <w:sz w:val="24"/>
          <w:szCs w:val="24"/>
        </w:rPr>
        <w:t xml:space="preserve">4.10 公司基本信息</w:t>
      </w:r>
    </w:p>
    <w:p>
      <w:pPr>
        <w:spacing w:after="160" w:line="300"/>
      </w:pPr>
      <w:r>
        <w:rPr>
          <w:sz w:val="22"/>
          <w:szCs w:val="22"/>
        </w:rPr>
        <w:t xml:space="preserve">300919对应中伟新材料股份有限公司，A股简称为“中伟新材”，上市地为深圳证券交易所创业板；公司同时在香港联交所挂牌，H股代码为02579。</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37.62元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下跌1.03元，跌幅约2.67%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38.18元 / 38.20元 / 37.00元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约8.22万手，即约822.09万股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约3.08亿元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约392.93亿元；另一平台显示约363.8亿元，综合按约364亿至393亿元理解</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约344.16亿元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约35.51元至65.63~66.15元；最新价较52周低点高约5.9%，较高点低约43.1%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PE（TTM）约19.0~19.6倍，属于行情平台估算值；市净率约1.4~1.8倍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截至2026年9月1日分别为40.40元、40.21元、40.74元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9月1日收盘价40.10元低于三条短期均线，短线形态偏弱。9月2日至9月11日股价继续下跌，9月11日均线大概率仍位于股价上方，但缺少当日可核验的精确数值。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截至2026年9月1日，DIF为-0.30，DEA为-0.33，MACD柱为+0.05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DIF和DEA均处于零轴下方，DIF略高于DEA且柱体为正，属于弱势区间内的短线修复，尚不能确认中期趋势反转。9月11日后的最新数值缺失，不能确认已死叉或重新转强。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截至2026年9月1日，RSI6为42.0、RSI12为45.2、RSI24为44.2；近期平台显示RSI（14）约41.34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均处于30至70的传统中性区间，偏中性或中性偏弱，尚未达到典型超卖水平。9月11日后的RSI6具体数值缺失。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截至2026年9月1日，上轨42.01元、中轨40.74元、下轨39.48元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9月1日收盘价位于下轨与中轨之间；9月11日收盘价37.62元已低于9月1日下轨，但由于布林带动态变化，39.48元不能直接视为9月11日实时下轨。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近期量价关系</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9月8日至9月11日成交额分别约2.40亿元、2.59亿元、2.64亿元和3.08亿元，平均约2.68亿元；9月11日换手率0.90%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9月11日下跌幅度扩大且成交额较近期平均高约15%，卖盘有所增加，但成交额尚未形成明显极端放量；当日成交量约822万股，低于近3个月平均成交量约1336万股，短线资金活跃度偏低。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截至2026年9月1日，近10个交易日合计净流出约3901万元；9月1日净流出约2486万元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已核验数据显示短线大单资金偏流出，但该口径为大单与超大单资金合计，不等同于全部机构资金或真实机构持仓变化；9月2日至9月11日完整连续数据缺失。</w:t>
            </w:r>
          </w:p>
        </w:tc>
      </w:tr>
    </w:tbl>
    <w:p>
      <w:pPr>
        <w:spacing w:before="200"/>
      </w:pPr>
    </w:p>
    <w:p>
      <w:pPr>
        <w:spacing w:after="160" w:line="300"/>
      </w:pPr>
      <w:r>
        <w:rPr>
          <w:sz w:val="22"/>
          <w:szCs w:val="22"/>
        </w:rPr>
        <w:t xml:space="preserve">截至2026年9月11日，股价收于37.62元，位于52周价格区间偏低位置，距离约35.51元的52周低点较近。短线价格已跌破截至9月1日可核验的MA5、MA10、MA20及布林带下轨参考区间，技术形态偏弱；但9月1日MACD柱仍为正，RSI处于中性区间，尚不能仅据此确认极端超卖或中期趋势反转。近期下跌伴随成交额温和放大，但换手率仍不足1%，且成交量低于近3个月平均水平，暂未显示明确的强资金承接信号。股东结构方面，第一大股东截至2026年3月31日持有流通股52.78%，前十大流通股东合计占比按公开表格估算约74.7%；该集中度为基于公开数据的近似计算，且股东数据存在季度滞后，实际筹码结构可能已发生变化。</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风险提示：以下内容仅为基于截至2026年9月11日收盘数据及历史技术指标的主观情景推演，不构成投资建议，也不代表对未来股价的确定预测。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39.0~40.0元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依据9月8日至9月10日价格密集区，以及截至9月1日的短期均线和布林带中轨参考区域。若重新站上40元并伴随成交额放大，才可能说明短线跌势有所修复。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上方强压力区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40.2~40.8元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对应截至9月1日MA10约40.21元、MA20约40.74元及布林带中轨约40.74元，属于均线密集压力区域。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36.8~37.3元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依据9月11日最低价37.00元及收盘价37.62元附近。若该区域失守，下方支撑需下移并关注35.5~36.0元区域。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35.5~36.0元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主要依据52周低点约35.51元。若有效跌破35.5元，可能打开向更低区间寻找支撑的空间，并意味着52周低点失守。</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和资金面状态的主观启发式判断，不是统计概率）：价格区间约36.8~39.5元。触发条件为股价在37元附近获得承接，但未能有效突破39.5~40元，且成交额维持约2.5~3.5亿元、板块无明显利空或强催化。若量能不跟随，反弹更可能属于弱势反抽。</w:t>
      </w:r>
    </w:p>
    <w:p>
      <w:pPr>
        <w:pStyle w:val="ListParagraph"/>
        <w:numPr>
          <w:ilvl w:val="0"/>
          <w:numId w:val="2"/>
        </w:numPr>
        <w:spacing w:after="80" w:line="280"/>
      </w:pPr>
      <w:r>
        <w:rPr>
          <w:sz w:val="22"/>
          <w:szCs w:val="22"/>
        </w:rPr>
        <w:t xml:space="preserve">偏弱下行（权重中等；该权重为主观启发式判断，不是统计概率）：价格区间约35.5~37.0元。触发条件为股价放量跌破37元，单日成交额明显高于近期均值，同时电池材料板块继续走弱或大盘风险偏好下降。若35.5元附近也无法形成有效承接，可能继续下探；跌破52周低点后需重新观察成交量和止跌形态。</w:t>
      </w:r>
    </w:p>
    <w:p>
      <w:pPr>
        <w:pStyle w:val="ListParagraph"/>
        <w:numPr>
          <w:ilvl w:val="0"/>
          <w:numId w:val="2"/>
        </w:numPr>
        <w:spacing w:after="80" w:line="280"/>
      </w:pPr>
      <w:r>
        <w:rPr>
          <w:sz w:val="22"/>
          <w:szCs w:val="22"/>
        </w:rPr>
        <w:t xml:space="preserve">反弹走强（权重偏低；该权重为主观启发式判断，不是统计概率）：价格区间约39.5~40.8元。触发条件为股价重新站上39.5元，进一步突破40元及40.2~40.8元均线压力区，同时单日成交额持续放大至约3.5亿元以上，并最好伴随电池材料板块同步走强。若仅缩量反弹至39~40元附近后回落，仍应视为弱势反抽，不能直接视为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换手率为0.90%，成交额约3.08亿元；近4个交易日成交额区间约2.40亿至3.08亿元，平均约2.68亿元。主力资金方面，截至2026年9月1日近10个交易日合计净流出约3901万元，但9月2日至9月11日完整连续数据缺失。股东集中度数据截至2026年3月31日：第一大股东湖南中伟控股集团有限公司持有流通股52.78%，前十大流通股东合计持股比例按公开表格估算约74.7%；其中既有高毅资产、香港中央结算、基金及投资基金，也有控股股东、企业和自然人股东，不能简单归类为公募机构高度集中。股东户数截至2026年6月30日约5.18万户，较2026年3月31日增加约26.26%，可能反映筹码有所分散，但也可能受增发、限售股解禁或股本变化影响。上述股东数据均存在相对2026年9月11日行情的滞后，实际结构可能已经变化。结合低于1%的换手率和较高股东集中度，实际可交易筹码相对有限；在流动性转弱时，买卖盘深度可能不足，价格对单笔资金较敏感，成交滑点可能扩大。</w:t>
      </w:r>
    </w:p>
    <w:p>
      <w:pPr>
        <w:spacing w:after="160" w:line="300"/>
      </w:pPr>
      <w:r>
        <w:rPr>
          <w:sz w:val="22"/>
          <w:szCs w:val="22"/>
        </w:rPr>
        <w:t xml:space="preserve">可检查的成交确认信号：若后续单日成交额连续放大至约3.5亿元以上，且股价同步站上39.5~40元区间，可视为短线资金参与度改善的观察信号；若放量但股价继续跌破37元，则更应理解为抛压释放信号，而非单纯的资金介入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观察37元附近能否出现缩量企稳；若有效跌破，则关注35.5~36.0元强支撑区。</w:t>
      </w:r>
    </w:p>
    <w:p>
      <w:pPr>
        <w:pStyle w:val="ListParagraph"/>
        <w:numPr>
          <w:ilvl w:val="0"/>
          <w:numId w:val="2"/>
        </w:numPr>
        <w:spacing w:after="80" w:line="280"/>
      </w:pPr>
      <w:r>
        <w:rPr>
          <w:sz w:val="22"/>
          <w:szCs w:val="22"/>
        </w:rPr>
        <w:t xml:space="preserve">观察39.5~40.8元压力区能否被放量收复，尤其关注40元整数关口。</w:t>
      </w:r>
    </w:p>
    <w:p>
      <w:pPr>
        <w:pStyle w:val="ListParagraph"/>
        <w:numPr>
          <w:ilvl w:val="0"/>
          <w:numId w:val="2"/>
        </w:numPr>
        <w:spacing w:after="80" w:line="280"/>
      </w:pPr>
      <w:r>
        <w:rPr>
          <w:sz w:val="22"/>
          <w:szCs w:val="22"/>
        </w:rPr>
        <w:t xml:space="preserve">观察成交额是否从近期约2.4亿至3.1亿元区间持续放大至3.5亿元以上。</w:t>
      </w:r>
    </w:p>
    <w:p>
      <w:pPr>
        <w:pStyle w:val="ListParagraph"/>
        <w:numPr>
          <w:ilvl w:val="0"/>
          <w:numId w:val="2"/>
        </w:numPr>
        <w:spacing w:after="80" w:line="280"/>
      </w:pPr>
      <w:r>
        <w:rPr>
          <w:sz w:val="22"/>
          <w:szCs w:val="22"/>
        </w:rPr>
        <w:t xml:space="preserve">观察主力资金是否由连续净流出转为连续净流入，但9月2日至9月11日的连续资金流数据尚未得到可靠交叉核验。以上均为观察思路，非操作指令。</w:t>
      </w:r>
    </w:p>
    <w:p>
      <w:pPr>
        <w:spacing w:after="200"/>
      </w:pPr>
      <w:r>
        <w:rPr>
          <w:i/>
          <w:iCs/>
          <w:color w:val="595959"/>
          <w:sz w:val="18"/>
          <w:szCs w:val="18"/>
        </w:rPr>
        <w:t xml:space="preserve">以上情景推演基于2026年9月11日收盘数据、截至2026年9月1日可核验的技术指标、历史价格和公开筹码数据测算，短期股价还会受消息面、资金面、大盘环境、行业价格和市场情绪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在行业为新能源电池材料行业，核心涉及三元前驱体、四氧化三钴、磷酸铁/磷酸铁锂、钠电正极材料及新能源金属。行业正由单一材料加工向“资源—冶炼—材料—回收”一体化发展，竞争重点从单纯扩产转向资源控制、高端产品开发、良率与成本、头部客户认证、海外本地化生产及回收闭环。</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披露，2025年三元前驱体市场占有率约24%，连续6年保持行业第一；镍系、钴系前驱体处于全球领先位置，四氧化三钴市场份额连续6年行业第一。上述市场份额来自鑫椤数据等第三方统计，为公司年报引用的外部数据，并非监管机构直接核定数据。</w:t>
      </w:r>
    </w:p>
    <w:p>
      <w:pPr>
        <w:pStyle w:val="ListParagraph"/>
        <w:numPr>
          <w:ilvl w:val="0"/>
          <w:numId w:val="2"/>
        </w:numPr>
        <w:spacing w:after="80" w:line="280"/>
      </w:pPr>
      <w:r>
        <w:rPr>
          <w:sz w:val="22"/>
          <w:szCs w:val="22"/>
        </w:rPr>
        <w:t xml:space="preserve">三元前驱体、磷酸铁和磷酸铁锂均存在扩产和价格竞争风险；现有企业持续扩张及新企业进入可能加剧竞争，对市场份额和毛利率形成压力。</w:t>
      </w:r>
    </w:p>
    <w:p>
      <w:pPr>
        <w:pStyle w:val="ListParagraph"/>
        <w:numPr>
          <w:ilvl w:val="0"/>
          <w:numId w:val="2"/>
        </w:numPr>
        <w:spacing w:after="80" w:line="280"/>
      </w:pPr>
      <w:r>
        <w:rPr>
          <w:sz w:val="22"/>
          <w:szCs w:val="22"/>
        </w:rPr>
        <w:t xml:space="preserve">行业龙头向资源、冶炼、材料和回收一体化发展，单一材料加工企业的利润空间可能受到挤压；产业链延伸同时带来资本开支、海外经营和资产负债管理挑战。</w:t>
      </w:r>
    </w:p>
    <w:p>
      <w:pPr>
        <w:pStyle w:val="ListParagraph"/>
        <w:numPr>
          <w:ilvl w:val="0"/>
          <w:numId w:val="2"/>
        </w:numPr>
        <w:spacing w:after="80" w:line="280"/>
      </w:pPr>
      <w:r>
        <w:rPr>
          <w:sz w:val="22"/>
          <w:szCs w:val="22"/>
        </w:rPr>
        <w:t xml:space="preserve">行业竞争核心包括镍、钴、锂、磷等资源控制，高镍、超高镍和高电压产品开发，产线良率、成本与一致性，头部电池企业认证，海外本地化生产，以及回收闭环和低碳供应链能力。</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华友钴业（603799）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资源、冶炼、前驱体和正极材料一体化企业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钴、铜、镍、锂等资源及冶炼布局较深，覆盖三元前驱体、正极材料和循环回收，在印尼等海外区域资源和冶炼能力较强；相较中伟新材，资源属性和上游矿冶属性更强。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格林美（002340）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资源循环回收、镍钴资源和三元前驱体综合企业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具备电池回收和城市矿山资源优势，并向印尼镍资源及冶炼延伸；三元前驱体、高镍产品与资源回收协同发展，相较中伟新材，回收闭环和再生资源属性更突出。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容百科技（688005）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以三元正极材料为核心，向磷酸铁锂、磷酸锰铁锂和钠电正极材料拓展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更偏向正极材料制造，是中伟新材的下游客户类型企业，同时在部分前驱体和材料环节可能形成竞合；容百优势偏正极材料配方、客户认证和终端电池协同，中伟优势偏前驱体规模、资源冶炼和金属原料保障。</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宁德时代、LG新能源等下游电池企业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重要产业链客户、合作伙伴及潜在纵向整合竞争者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不是中伟新材的直接同类上市公司。大型电池企业具有较强采购议价权，并可能通过投资、合资、自建产能或长期协议向上游材料环节延伸。</w:t>
            </w:r>
          </w:p>
        </w:tc>
      </w:tr>
    </w:tbl>
    <w:p>
      <w:pPr>
        <w:spacing w:before="200"/>
      </w:pPr>
    </w:p>
    <w:p>
      <w:pPr>
        <w:spacing w:after="160" w:line="300"/>
      </w:pPr>
      <w:r>
        <w:rPr>
          <w:sz w:val="22"/>
          <w:szCs w:val="22"/>
        </w:rPr>
        <w:t xml:space="preserve">中伟新材以三元前驱体和钴系前驱体为传统优势，并向镍、磷、锂资源及冶炼、磷系和钠系材料、回收环节拓展，定位介于中游材料制造与资源冶炼一体化平台之间。相较华友钴业，公司传统优势更偏前驱体规模、技术和客户认证；相较格林美，回收闭环和再生资源属性并非当前最突出；相较容百科技，公司更偏前驱体、资源冶炼和金属原料保障，而容百科技更偏正极材料制造。与宁德时代、LG新能源等大型电池企业的关系则兼具客户、合作伙伴和潜在纵向整合竞争者属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价格与盈利传导风险：2025年锂电正极前驱体业务直接材料成本占营业成本82.94%，新能源金属业务占比71.83%；公司虽多数采用原材料成本加加工费定价，但镍、钴、锂、磷等价格波动以及下游客户议价，仍可能压缩加工费和盈利空间。</w:t>
      </w:r>
    </w:p>
    <w:p>
      <w:pPr>
        <w:pStyle w:val="ListParagraph"/>
        <w:numPr>
          <w:ilvl w:val="0"/>
          <w:numId w:val="2"/>
        </w:numPr>
        <w:spacing w:after="80" w:line="280"/>
      </w:pPr>
      <w:r>
        <w:rPr>
          <w:sz w:val="22"/>
          <w:szCs w:val="22"/>
        </w:rPr>
        <w:t xml:space="preserve">新能源金属业务占比较高的结构性风险：2025年新能源金属收入178.08亿元，占营业收入36.99%，但该业务毛利率为6.96%，低于三元前驱体业务18.67%；若金属价格、冶炼利润或产品结构变化，可能对综合利润率产生较大影响。</w:t>
      </w:r>
    </w:p>
    <w:p>
      <w:pPr>
        <w:pStyle w:val="ListParagraph"/>
        <w:numPr>
          <w:ilvl w:val="0"/>
          <w:numId w:val="2"/>
        </w:numPr>
        <w:spacing w:after="80" w:line="280"/>
      </w:pPr>
      <w:r>
        <w:rPr>
          <w:sz w:val="22"/>
          <w:szCs w:val="22"/>
        </w:rPr>
        <w:t xml:space="preserve">行业竞争与产能过剩风险：三元前驱体、磷酸铁和磷酸铁锂均存在扩产和价格竞争，公司需要持续应对行业新增产能、下游大型客户较强议价能力以及大型电池企业向上游材料环节延伸带来的加工费压力。</w:t>
      </w:r>
    </w:p>
    <w:p>
      <w:pPr>
        <w:pStyle w:val="ListParagraph"/>
        <w:numPr>
          <w:ilvl w:val="0"/>
          <w:numId w:val="2"/>
        </w:numPr>
        <w:spacing w:after="80" w:line="280"/>
      </w:pPr>
      <w:r>
        <w:rPr>
          <w:sz w:val="22"/>
          <w:szCs w:val="22"/>
        </w:rPr>
        <w:t xml:space="preserve">营运资金与现金流风险：截至2025年末，应收账款66.33亿元、存货146.64亿元，分别占总资产8.13%和17.97%；2025年经营活动现金流净额同比下降65.16%，2026年上半年现金流增幅也低于归母净利润增速，采购付款增加及库存、在产品占用可能继续影响资金周转。</w:t>
      </w:r>
    </w:p>
    <w:p>
      <w:pPr>
        <w:pStyle w:val="ListParagraph"/>
        <w:numPr>
          <w:ilvl w:val="0"/>
          <w:numId w:val="2"/>
        </w:numPr>
        <w:spacing w:after="80" w:line="280"/>
      </w:pPr>
      <w:r>
        <w:rPr>
          <w:sz w:val="22"/>
          <w:szCs w:val="22"/>
        </w:rPr>
        <w:t xml:space="preserve">海外项目与一体化投入风险：公司在印尼、摩洛哥、德国等地推进镍资源冶炼、海外材料生产和回收布局，海外扩张可能面临项目建设进度、产能利用率、经营管理、汇率及投入回报不及预期等风险；公司拟将约12.014亿港元H股募集资金由韩国生产基地项目调整至贵州开阳磷矿及磷系一体化产业三期项目，项目效益仍需后续验证。</w:t>
      </w:r>
    </w:p>
    <w:p>
      <w:pPr>
        <w:pStyle w:val="ListParagraph"/>
        <w:numPr>
          <w:ilvl w:val="0"/>
          <w:numId w:val="2"/>
        </w:numPr>
        <w:spacing w:after="80" w:line="280"/>
      </w:pPr>
      <w:r>
        <w:rPr>
          <w:sz w:val="22"/>
          <w:szCs w:val="22"/>
        </w:rPr>
        <w:t xml:space="preserve">对外财务资助风险：公司拟向持股34%的参股公司SSP提供不超过680万美元或等值人民币、期限不超过12个月的借款；若按上限提供，公司及控股子公司对合并报表外单位提供财务资助余额将达到约40,271万美元，占最近一期经审计净资产的11.58%，存在资金回收、参股公司经营及项目推进不及预期的风险。</w:t>
      </w:r>
    </w:p>
    <w:p>
      <w:pPr>
        <w:pStyle w:val="ListParagraph"/>
        <w:numPr>
          <w:ilvl w:val="0"/>
          <w:numId w:val="2"/>
        </w:numPr>
        <w:spacing w:after="80" w:line="280"/>
      </w:pPr>
      <w:r>
        <w:rPr>
          <w:sz w:val="22"/>
          <w:szCs w:val="22"/>
        </w:rPr>
        <w:t xml:space="preserve">潜在股本摊薄风险：公司拟申请A股或H股发行一般性授权，授权董事会在期限内发行不超过现有已发行A股或H股各自数量20%的股份，或相关可转换证券；虽然该授权不等于已确定发行，但若未来实施，可能带来股本扩张及现有股东权益摊薄。</w:t>
      </w:r>
    </w:p>
    <w:p>
      <w:pPr>
        <w:pStyle w:val="ListParagraph"/>
        <w:numPr>
          <w:ilvl w:val="0"/>
          <w:numId w:val="2"/>
        </w:numPr>
        <w:spacing w:after="80" w:line="280"/>
      </w:pPr>
      <w:r>
        <w:rPr>
          <w:sz w:val="22"/>
          <w:szCs w:val="22"/>
        </w:rPr>
        <w:t xml:space="preserve">客户集中与供应链议价风险：2025年前五大客户销售额占比36.77%，第一大客户占比13.36%；前五大供应商采购额占比22.70%。客户名称匿名披露，无法仅凭现有数据确认具体对应关系，若主要客户需求、认证进度或采购策略变化，可能影响公司出货和产能利用率。</w:t>
      </w:r>
    </w:p>
    <w:p>
      <w:pPr>
        <w:pStyle w:val="ListParagraph"/>
        <w:numPr>
          <w:ilvl w:val="0"/>
          <w:numId w:val="2"/>
        </w:numPr>
        <w:spacing w:after="80" w:line="280"/>
      </w:pPr>
      <w:r>
        <w:rPr>
          <w:sz w:val="22"/>
          <w:szCs w:val="22"/>
        </w:rPr>
        <w:t xml:space="preserve">技术面与流动性风险：截至2026年9月11日股价37.62元，接近52周低点，且低于截至9月1日可核验的短期均线和布林带参考区间；当日换手率仅0.90%，成交量低于近三个月平均水平，若37元及35.5元附近支撑失效，股价波动可能加大。同时股东集中度较高且数据存在滞后，流动性转弱时可能放大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核心增长逻辑在于规模扩张与产业链纵向一体化：一方面，三元前驱体、钴系前驱体仍具备规模、技术和客户认证优势；另一方面，镍资源及冶炼、贵州磷矿和磷系一体化、钠系及固态前驱体、海外基地和回收业务有望拓宽产品与资源保障边界。2026年上半年业绩增速和毛利率改善，显示前述业务组合阶段性产生积极作用。</w:t>
      </w:r>
    </w:p>
    <w:p>
      <w:pPr>
        <w:spacing w:after="160" w:line="300"/>
      </w:pPr>
      <w:r>
        <w:rPr>
          <w:sz w:val="22"/>
          <w:szCs w:val="22"/>
        </w:rPr>
        <w:t xml:space="preserve">未来业绩能否延续修复，仍取决于镍价及冶炼利润、三元前驱体出货、磷系材料盈利、高端产品占比、海外项目建设和产能利用率。机构对2026年归母净利润预测区间为25.04亿至30.52亿元，差异较大，说明盈利预测对金属价格、出货量和新业务盈利较为敏感；2027—2028年一致预期继续增长，但部分收入预测主要基于已展示机构数据，不能视为完整市场一致预期。</w:t>
      </w:r>
    </w:p>
    <w:p>
      <w:pPr>
        <w:spacing w:after="160" w:line="300"/>
      </w:pPr>
      <w:r>
        <w:rPr>
          <w:sz w:val="22"/>
          <w:szCs w:val="22"/>
        </w:rPr>
        <w:t xml:space="preserve">公司拟推进中期分红、调整H股募集资金用途、向参股公司SSP提供不超过680万美元财务资助，并申请A股或H股发行一般性授权。上述事项分别涉及现金分配、资金投向、对外资金占用及潜在股本扩张，后续需关注股东会审议结果、项目投入回报和资本运作对财务结构及股东权益的影响。技术面上，37元附近及35.5—36.0元区域是重要观察区间，39.5—40.8元为上方压力区域，但相关判断基于存在滞后的技术数据，不代表对未来股价走势的确定预测。</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https://static.cninfo.com.cn/finalpage/2026-03-31/1225054811.PDF — https://static.cninfo.com.cn/finalpage/2026-03-31/1225054811.PDF</w:t>
      </w:r>
    </w:p>
    <w:p>
      <w:pPr>
        <w:spacing w:after="200"/>
      </w:pPr>
      <w:r>
        <w:rPr>
          <w:i/>
          <w:iCs/>
          <w:color w:val="595959"/>
          <w:sz w:val="18"/>
          <w:szCs w:val="18"/>
        </w:rPr>
        <w:t xml:space="preserve">https://cngrgf.com.cn/Upload/Template/web/Files/202505/3e57e96e-00e3-4e06-bb3f-ab5d252dbd9a.pdf — https://cngrgf.com.cn/Upload/Template/web/Files/202505/3e57e96e-00e3-4e06-bb3f-ab5d252dbd9a.pdf</w:t>
      </w:r>
    </w:p>
    <w:p>
      <w:pPr>
        <w:spacing w:after="200"/>
      </w:pPr>
      <w:r>
        <w:rPr>
          <w:i/>
          <w:iCs/>
          <w:color w:val="595959"/>
          <w:sz w:val="18"/>
          <w:szCs w:val="18"/>
        </w:rPr>
        <w:t xml:space="preserve">中伟新材(300919)_公司公告_中伟股份：2024年年度报告新浪财经_新浪网 — https://money.finance.sina.com.cn/corp/view/vCB_AllBulletinDetail.php?id=10868234&amp;stockid=300919</w:t>
      </w:r>
    </w:p>
    <w:p>
      <w:pPr>
        <w:spacing w:after="200"/>
      </w:pPr>
      <w:r>
        <w:rPr>
          <w:i/>
          <w:iCs/>
          <w:color w:val="595959"/>
          <w:sz w:val="18"/>
          <w:szCs w:val="18"/>
        </w:rPr>
        <w:t xml:space="preserve">华友钴业(603799)_公司公告_华友钴业：2025年年度报告新浪财经_新浪网 — https://money.finance.sina.com.cn/corp/view/vCB_AllBulletinDetail.php?id=12066687&amp;stockid=603799&amp;utm_source=openai</w:t>
      </w:r>
    </w:p>
    <w:p>
      <w:pPr>
        <w:spacing w:after="200"/>
      </w:pPr>
      <w:r>
        <w:rPr>
          <w:i/>
          <w:iCs/>
          <w:color w:val="595959"/>
          <w:sz w:val="18"/>
          <w:szCs w:val="18"/>
        </w:rPr>
        <w:t xml:space="preserve">格林美股份有限公司 2025 年年度报告全文 — https://static.cninfo.com.cn/finalpage/2026-04-22/1225142250.PDF?utm_source=openai</w:t>
      </w:r>
    </w:p>
    <w:p>
      <w:pPr>
        <w:spacing w:after="200"/>
      </w:pPr>
      <w:r>
        <w:rPr>
          <w:i/>
          <w:iCs/>
          <w:color w:val="595959"/>
          <w:sz w:val="18"/>
          <w:szCs w:val="18"/>
        </w:rPr>
        <w:t xml:space="preserve">宁波容百新能源科技股份有限公司2025年年度报告 — https://static.cninfo.com.cn/finalpage/2026-04-11/1225095564.PDF?utm_source=openai</w:t>
      </w:r>
    </w:p>
    <w:p>
      <w:pPr>
        <w:spacing w:after="200"/>
      </w:pPr>
      <w:r>
        <w:rPr>
          <w:i/>
          <w:iCs/>
          <w:color w:val="595959"/>
          <w:sz w:val="18"/>
          <w:szCs w:val="18"/>
        </w:rPr>
        <w:t xml:space="preserve">https://disc.static.szse.cn/disc/disk03/finalpage/2026-08-25/53856f2b-83a4-477b-913d-79194ee16cf7.PDF — https://disc.static.szse.cn/disc/disk03/finalpage/2026-08-25/53856f2b-83a4-477b-913d-79194ee16cf7.PDF</w:t>
      </w:r>
    </w:p>
    <w:p>
      <w:pPr>
        <w:spacing w:after="200"/>
      </w:pPr>
      <w:r>
        <w:rPr>
          <w:i/>
          <w:iCs/>
          <w:color w:val="595959"/>
          <w:sz w:val="18"/>
          <w:szCs w:val="18"/>
        </w:rPr>
        <w:t xml:space="preserve">中伟新材(300919)_公司公告_中伟新材：2025年年度报告新浪财经_新浪网 — https://money.finance.sina.com.cn/corp/view/vCB_AllBulletinDetail.php?id=12040700&amp;stockid=300919&amp;utm_source=openai</w:t>
      </w:r>
    </w:p>
    <w:p>
      <w:pPr>
        <w:spacing w:after="200"/>
      </w:pPr>
      <w:r>
        <w:rPr>
          <w:i/>
          <w:iCs/>
          <w:color w:val="595959"/>
          <w:sz w:val="18"/>
          <w:szCs w:val="18"/>
        </w:rPr>
        <w:t xml:space="preserve">中伟新材(300919) 盈利预测_F10_同花顺金融服务网 — https://basic.10jqka.com.cn/300919/worth.html</w:t>
      </w:r>
    </w:p>
    <w:p>
      <w:pPr>
        <w:spacing w:after="200"/>
      </w:pPr>
      <w:r>
        <w:rPr>
          <w:i/>
          <w:iCs/>
          <w:color w:val="595959"/>
          <w:sz w:val="18"/>
          <w:szCs w:val="18"/>
        </w:rPr>
        <w:t xml:space="preserve">https://reportify.cn/reports/1239979401169473536?utm_source=openai — https://reportify.cn/reports/1239979401169473536?utm_source=openai</w:t>
      </w:r>
    </w:p>
    <w:p>
      <w:pPr>
        <w:spacing w:after="200"/>
      </w:pPr>
      <w:r>
        <w:rPr>
          <w:i/>
          <w:iCs/>
          <w:color w:val="595959"/>
          <w:sz w:val="18"/>
          <w:szCs w:val="18"/>
        </w:rPr>
        <w:t xml:space="preserve">机构评级|2家机构更新中伟新材评级 — https://stock.10jqka.com.cn/20260522/c676895296.shtml?utm_source=openai</w:t>
      </w:r>
    </w:p>
    <w:p>
      <w:pPr>
        <w:spacing w:after="200"/>
      </w:pPr>
      <w:r>
        <w:rPr>
          <w:i/>
          <w:iCs/>
          <w:color w:val="595959"/>
          <w:sz w:val="18"/>
          <w:szCs w:val="18"/>
        </w:rPr>
        <w:t xml:space="preserve">中伟新材(300919)股票信息 - 数据平台 — https://data.agoer.com/cms/Index/detail?id=300919&amp;utm_source=openai</w:t>
      </w:r>
    </w:p>
    <w:p>
      <w:pPr>
        <w:spacing w:after="200"/>
      </w:pPr>
      <w:r>
        <w:rPr>
          <w:i/>
          <w:iCs/>
          <w:color w:val="595959"/>
          <w:sz w:val="18"/>
          <w:szCs w:val="18"/>
        </w:rPr>
        <w:t xml:space="preserve">股票简称：中伟股份                                  股票代码：300919 — https://reportdocs.static.szse.cn/UpFiles/rasinfodisc1/202208/RAS_202208_000182A5E76FD63FD414D795AB2CD43F.pdf?utm_source=openai</w:t>
      </w:r>
    </w:p>
    <w:p>
      <w:pPr>
        <w:spacing w:after="200"/>
      </w:pPr>
      <w:r>
        <w:rPr>
          <w:i/>
          <w:iCs/>
          <w:color w:val="595959"/>
          <w:sz w:val="18"/>
          <w:szCs w:val="18"/>
        </w:rPr>
        <w:t xml:space="preserve">中伟新材(300919)_公司公告_中伟新材：关于召开2026年第三次临时股东会的通知新浪财经_新浪网 — https://money.finance.sina.com.cn/corp/view/vCB_AllBulletinDetail.php?id=12527066&amp;stockid=300919</w:t>
      </w:r>
    </w:p>
    <w:p>
      <w:pPr>
        <w:spacing w:after="200"/>
      </w:pPr>
      <w:r>
        <w:rPr>
          <w:i/>
          <w:iCs/>
          <w:color w:val="595959"/>
          <w:sz w:val="18"/>
          <w:szCs w:val="18"/>
        </w:rPr>
        <w:t xml:space="preserve">中伟新材(300919)_公司公告_中伟新材：关于公司2026年中期分红方案的公告新浪财经_新浪网 — https://money.finance.sina.com.cn/corp/view/vCB_AllBulletinDetail.php?id=12527068&amp;stockid=300919&amp;utm_source=openai</w:t>
      </w:r>
    </w:p>
    <w:p>
      <w:pPr>
        <w:spacing w:after="200"/>
      </w:pPr>
      <w:r>
        <w:rPr>
          <w:i/>
          <w:iCs/>
          <w:color w:val="595959"/>
          <w:sz w:val="18"/>
          <w:szCs w:val="18"/>
        </w:rPr>
        <w:t xml:space="preserve">中伟新材：暂无回购计划将动态评估市值管理工具 港美股资讯 | 华盛通 — https://www.hstong.com/news/detail/26082821145880666?utm_source=openai</w:t>
      </w:r>
    </w:p>
    <w:p>
      <w:pPr>
        <w:spacing w:after="200"/>
      </w:pPr>
      <w:r>
        <w:rPr>
          <w:i/>
          <w:iCs/>
          <w:color w:val="595959"/>
          <w:sz w:val="18"/>
          <w:szCs w:val="18"/>
        </w:rPr>
        <w:t xml:space="preserve">中伟新材料股份有限公司2026年半年度报告摘要|上海证券报 — https://paper.cnstock.com/html/2026-08/25/content_2259126.htm?utm_source=openai</w:t>
      </w:r>
    </w:p>
    <w:p>
      <w:pPr>
        <w:spacing w:after="200"/>
      </w:pPr>
      <w:r>
        <w:rPr>
          <w:i/>
          <w:iCs/>
          <w:color w:val="595959"/>
          <w:sz w:val="18"/>
          <w:szCs w:val="18"/>
        </w:rPr>
        <w:t xml:space="preserve">Listed Company Information Title Search — https://www1.hkexnews.hk/search/titlesearch.xhtml?category=0&amp;lang=EN&amp;market=SEHK&amp;stockId=1000279936&amp;utm_source=openai</w:t>
      </w:r>
    </w:p>
    <w:p>
      <w:pPr>
        <w:spacing w:after="200"/>
      </w:pPr>
      <w:r>
        <w:rPr>
          <w:i/>
          <w:iCs/>
          <w:color w:val="595959"/>
          <w:sz w:val="18"/>
          <w:szCs w:val="18"/>
        </w:rPr>
        <w:t xml:space="preserve">中伟新材(300919)_公司公告_中伟新材：投资者关系管理信息20260826新浪财经_新浪网 — https://money.finance.sina.com.cn/corp/view/vCB_AllBulletinDetail.php?id=12553081&amp;stockid=300919</w:t>
      </w:r>
    </w:p>
    <w:p>
      <w:pPr>
        <w:spacing w:after="200"/>
      </w:pPr>
      <w:r>
        <w:rPr>
          <w:i/>
          <w:iCs/>
          <w:color w:val="595959"/>
          <w:sz w:val="18"/>
          <w:szCs w:val="18"/>
        </w:rPr>
        <w:t xml:space="preserve">中伟新材(300919)交易提示_证券之星 — https://stock.quote.stockstar.com/info/notice_300919.shtml?utm_source=openai</w:t>
      </w:r>
    </w:p>
    <w:p>
      <w:pPr>
        <w:spacing w:after="200"/>
      </w:pPr>
      <w:r>
        <w:rPr>
          <w:i/>
          <w:iCs/>
          <w:color w:val="595959"/>
          <w:sz w:val="18"/>
          <w:szCs w:val="18"/>
        </w:rPr>
        <w:t xml:space="preserve">本报告由AI基于公开渠道信息自动检索、整理并生成，信息截至 截至2026年9月11日收盘；均线、MACD、RSI及布林带完整可核验数据截至2026年9月1日，存在约7个交易日滞后；股东集中度数据截至2026年3月31日，股东户数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2026-09-13T15:42:06.554Z</dcterms:created>
  <dcterms:modified xsi:type="dcterms:W3CDTF">2026-09-13T15:42:06.554Z</dcterms:modified>
</cp:coreProperties>
</file>

<file path=docProps/custom.xml><?xml version="1.0" encoding="utf-8"?>
<Properties xmlns="http://schemas.openxmlformats.org/officeDocument/2006/custom-properties" xmlns:vt="http://schemas.openxmlformats.org/officeDocument/2006/docPropsVTypes"/>
</file>