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三河同飞制冷股份有限公司（同飞股份） (300990)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行业：工业温控设备</w:t>
      </w:r>
    </w:p>
    <w:p>
      <w:pPr>
        <w:jc w:val="center"/>
      </w:pPr>
      <w:r>
        <w:rPr>
          <w:color w:val="595959"/>
          <w:sz w:val="22"/>
          <w:szCs w:val="22"/>
        </w:rPr>
        <w:t xml:space="preserve">报告日期：2026年9月14日</w:t>
      </w:r>
    </w:p>
    <w:p>
      <w:pPr>
        <w:jc w:val="center"/>
      </w:pPr>
      <w:r>
        <w:rPr>
          <w:color w:val="595959"/>
          <w:sz w:val="20"/>
          <w:szCs w:val="20"/>
        </w:rPr>
        <w:t xml:space="preserve">截至2026年9月11日收盘；2026年9月14日为当前日期，但未取得更晚的完整收盘数据，因此不使用盘中或未经确认的数据。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同飞股份2026年上半年实现营业收入16.08亿元，同比增长27.27%，但归母净利润仅增长2.45%至1.28亿元，扣非归母净利润增长2.74%；同期毛利率由23.65%降至22.13%，净利率约7.96%，显示收入扩张暂未同步转化为利润增长。2025年公司收入28.67亿元、归母净利润2.53亿元，收入同比增长32.75%，归母净利润同比增长64.84%，主营规模仍处于扩张阶段。</w:t>
      </w:r>
    </w:p>
    <w:p>
      <w:pPr>
        <w:spacing w:after="160" w:line="300"/>
      </w:pPr>
      <w:r>
        <w:rPr>
          <w:sz w:val="22"/>
          <w:szCs w:val="22"/>
        </w:rPr>
        <w:t xml:space="preserve">公司核心增长来源仍是液体恒温设备及储能、电力电子等工业温控场景。2025年液体恒温设备收入20.34亿元，占总收入70.93%，同比增长38.73%；2026年上半年储能领域收入约9.25亿元，同比增长36%，海外收入约3.51亿元，同比增长344.51%。数据中心液冷、纯水冷却单元及海外市场构成潜在增量，但公司仍是以工业温控为基础的平台型设备企业，并非单一数据中心液冷企业。</w:t>
      </w:r>
    </w:p>
    <w:p>
      <w:pPr>
        <w:spacing w:after="160" w:line="300"/>
      </w:pPr>
      <w:r>
        <w:rPr>
          <w:sz w:val="22"/>
          <w:szCs w:val="22"/>
        </w:rPr>
        <w:t xml:space="preserve">盈利能力受到材料成本、产品价格竞争和扩张投入共同影响。2025年综合毛利率为22.31%，液体恒温设备毛利率为19.38%；2026年上半年原材料成本上涨、数据中心液冷业务扩张、研发及管理投入增加，以及1,289.76万元汇兑损失，均压制了利润增速。公司直接材料占主要产品成本的75.07%至89.33%，下游前五大客户销售额占2025年收入42.03%，利润对成本和大客户定价较为敏感。</w:t>
      </w:r>
    </w:p>
    <w:p>
      <w:pPr>
        <w:spacing w:after="160" w:line="300"/>
      </w:pPr>
      <w:r>
        <w:rPr>
          <w:sz w:val="22"/>
          <w:szCs w:val="22"/>
        </w:rPr>
        <w:t xml:space="preserve">截至2026年9月11日，公司股价为86.20元，PE-TTM约57.5至58.4倍，较52周高点125.99元回落约31.6%，短期低于MA5、MA10和MA20，近5个交易日下跌约11.7%，技术面处于高波动调整状态。公司已获得不超过11.40亿元向特定对象发行股票的注册批复，但尚未完成发行及资金到账，液冷产能建设和订单兑现仍需后续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300990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同飞股份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2001年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通用设备制造业（C34），细分行业通常归入制冷空调设备/工业温控设备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专业从事工业温控设备研发、生产和销售，定位为工业温控领域整体解决方案综合服务商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总部及生产基地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总部位于河北省三河市；公司官网披露，2024年建成北方总部研发生产基地，总占地约22万平方米、配置22条数字化产线，该数据为公司自披露信息</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28.6748亿元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2025年境外收入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2.76亿元，占营业收入9.63%，同比增长269.92%</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液体恒温设备：包括水冷却机、激光水冷却机、油冷却机、切削液冷却机、工商业变频液冷单元、集装箱变频液冷单元及氟化液冷却机等。2025年收入20.34亿元，占营业收入70.93%，同比增长38.73%。</w:t>
      </w:r>
    </w:p>
    <w:p>
      <w:pPr>
        <w:pStyle w:val="ListParagraph"/>
        <w:numPr>
          <w:ilvl w:val="0"/>
          <w:numId w:val="2"/>
        </w:numPr>
        <w:spacing w:after="80" w:line="280"/>
      </w:pPr>
      <w:r>
        <w:rPr>
          <w:sz w:val="22"/>
          <w:szCs w:val="22"/>
        </w:rPr>
        <w:t xml:space="preserve">电气箱恒温装置：包括工业空调、空气水热交换器、壁挂式工业空调及一体式工业空调等。2025年收入3.65亿元，占营业收入12.74%，同比增长10.90%。</w:t>
      </w:r>
    </w:p>
    <w:p>
      <w:pPr>
        <w:pStyle w:val="ListParagraph"/>
        <w:numPr>
          <w:ilvl w:val="0"/>
          <w:numId w:val="2"/>
        </w:numPr>
        <w:spacing w:after="80" w:line="280"/>
      </w:pPr>
      <w:r>
        <w:rPr>
          <w:sz w:val="22"/>
          <w:szCs w:val="22"/>
        </w:rPr>
        <w:t xml:space="preserve">纯水冷却单元：以高纯水为冷却介质，可用于新能源发电变流器、柔性输变电设备、电气传动设备及数据中心液冷分配装置（CDU）。2025年收入2.31亿元，占营业收入8.06%，同比增长11.98%。该产品定制化程度较高，毛利率易受订单结构影响。</w:t>
      </w:r>
    </w:p>
    <w:p>
      <w:pPr>
        <w:pStyle w:val="ListParagraph"/>
        <w:numPr>
          <w:ilvl w:val="0"/>
          <w:numId w:val="2"/>
        </w:numPr>
        <w:spacing w:after="80" w:line="280"/>
      </w:pPr>
      <w:r>
        <w:rPr>
          <w:sz w:val="22"/>
          <w:szCs w:val="22"/>
        </w:rPr>
        <w:t xml:space="preserve">特种换热器：包括翅片换热器、风水换热器、干冷器等，应用于电力电子、数控装备、半导体制造设备、工业洗涤和数据中心等领域。2025年收入0.92亿元，占营业收入3.20%，同比下降3.85%。</w:t>
      </w:r>
    </w:p>
    <w:p>
      <w:pPr>
        <w:pStyle w:val="ListParagraph"/>
        <w:numPr>
          <w:ilvl w:val="0"/>
          <w:numId w:val="2"/>
        </w:numPr>
        <w:spacing w:after="80" w:line="280"/>
      </w:pPr>
      <w:r>
        <w:rPr>
          <w:sz w:val="22"/>
          <w:szCs w:val="22"/>
        </w:rPr>
        <w:t xml:space="preserve">按下游行业划分，2025年电力电子装置温控产品收入19.77亿元，占比68.94%，毛利率18.69%；数控装备温控产品收入7.85亿元，占比27.39%，毛利率29.27%；其他业务收入1.05亿元，占比3.67%。</w:t>
      </w:r>
    </w:p>
    <w:p>
      <w:pPr>
        <w:pStyle w:val="ListParagraph"/>
        <w:numPr>
          <w:ilvl w:val="0"/>
          <w:numId w:val="2"/>
        </w:numPr>
        <w:spacing w:after="80" w:line="280"/>
      </w:pPr>
      <w:r>
        <w:rPr>
          <w:sz w:val="22"/>
          <w:szCs w:val="22"/>
        </w:rPr>
        <w:t xml:space="preserve">公司以电力电子装置温控和数控装备温控为传统业务框架，并拓展储能、半导体、数据中心、氢能、医疗器械和新能源汽车充换电等领域；并非单一数据中心液冷企业，而是以工业温控为基础向新兴场景扩展的平台型设备企业。</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同飞股份生产温控整机、温控模块和换热部件，处于工业温控产业链中游。公司通过温控系统设计、定制化能力、客户认证、规模化采购及液冷和热管理技术积累获取利润，但成本端材料占比较高、下游部分大客户议价能力较强，整体仍具有中游设备制造企业的利润特征。</w:t>
      </w:r>
    </w:p>
    <w:p>
      <w:pPr>
        <w:pStyle w:val="ListParagraph"/>
        <w:numPr>
          <w:ilvl w:val="0"/>
          <w:numId w:val="2"/>
        </w:numPr>
        <w:spacing w:after="80" w:line="280"/>
      </w:pPr>
      <w:r>
        <w:rPr>
          <w:sz w:val="22"/>
          <w:szCs w:val="22"/>
        </w:rPr>
        <w:t xml:space="preserve">主要采购压缩机、水泵、风机、铜材、铝材、钢材、换热器相关金属部件、控制器、电气元件、传感器及其他配套零部件。公司早期上市申报材料明确提及，压缩机、水泵、风机、铜材和钢材是采购金额较大的主要原材料。</w:t>
      </w:r>
    </w:p>
    <w:p>
      <w:pPr>
        <w:pStyle w:val="ListParagraph"/>
        <w:numPr>
          <w:ilvl w:val="0"/>
          <w:numId w:val="2"/>
        </w:numPr>
        <w:spacing w:after="80" w:line="280"/>
      </w:pPr>
      <w:r>
        <w:rPr>
          <w:sz w:val="22"/>
          <w:szCs w:val="22"/>
        </w:rPr>
        <w:t xml:space="preserve">2025年直接材料占产品成本的比例较高：液体恒温设备86.13%，电气箱恒温装置75.07%，纯水冷却单元89.33%，特种换热器83.86%。公司成本对压缩机、泵、风机、铜铝钢材及电子元器件价格较为敏感。</w:t>
      </w:r>
    </w:p>
    <w:p>
      <w:pPr>
        <w:pStyle w:val="ListParagraph"/>
        <w:numPr>
          <w:ilvl w:val="0"/>
          <w:numId w:val="2"/>
        </w:numPr>
        <w:spacing w:after="80" w:line="280"/>
      </w:pPr>
      <w:r>
        <w:rPr>
          <w:sz w:val="22"/>
          <w:szCs w:val="22"/>
        </w:rPr>
        <w:t xml:space="preserve">铜材、铝材等金属材料价格受到大宗商品价格波动影响，公司通常根据市场预判择机采购。公司对核心原材料不具备完全的上游议价权，主要依靠规模采购、供应商多元化和库存管理控制成本。</w:t>
      </w:r>
    </w:p>
    <w:p>
      <w:pPr>
        <w:pStyle w:val="ListParagraph"/>
        <w:numPr>
          <w:ilvl w:val="0"/>
          <w:numId w:val="2"/>
        </w:numPr>
        <w:spacing w:after="80" w:line="280"/>
      </w:pPr>
      <w:r>
        <w:rPr>
          <w:sz w:val="22"/>
          <w:szCs w:val="22"/>
        </w:rPr>
        <w:t xml:space="preserve">2025年前五大供应商采购额3.83亿元，占年度采购总额20.19%；单一最大供应商占比5.18%。前五大供应商集中度相对有限，但年报未披露具体供应商名称，无法判断其是否集中于某类关键零部件厂商。</w:t>
      </w:r>
    </w:p>
    <w:p>
      <w:pPr>
        <w:pStyle w:val="ListParagraph"/>
        <w:numPr>
          <w:ilvl w:val="0"/>
          <w:numId w:val="2"/>
        </w:numPr>
        <w:spacing w:after="80" w:line="280"/>
      </w:pPr>
      <w:r>
        <w:rPr>
          <w:sz w:val="22"/>
          <w:szCs w:val="22"/>
        </w:rPr>
        <w:t xml:space="preserve">下游客户主要包括储能系统集成商、电池和PCS厂商、新能源发电及输变电企业、电气传动企业、数控机床和激光设备制造商、半导体设备厂商、数据中心及液冷系统客户，以及氢能、医疗器械、新能源汽车充换电和工业洗涤设备客户。</w:t>
      </w:r>
    </w:p>
    <w:p>
      <w:pPr>
        <w:pStyle w:val="ListParagraph"/>
        <w:numPr>
          <w:ilvl w:val="0"/>
          <w:numId w:val="2"/>
        </w:numPr>
        <w:spacing w:after="80" w:line="280"/>
      </w:pPr>
      <w:r>
        <w:rPr>
          <w:sz w:val="22"/>
          <w:szCs w:val="22"/>
        </w:rPr>
        <w:t xml:space="preserve">公司披露的客户包括宁德时代、比亚迪、阳光电源、中国中车、中创新航、海博思创、阿特斯、晶科能源、金盘科技、北方华创、海天精工、纽威数控、思源电气、新风光、特变电工、禾望电气、汇川技术、许继电气、科华数据、中兴通讯和联影医疗等。但客户名单主要用于展示客户资源，不能据此推断其均为前五大客户或形成稳定大额订单。</w:t>
      </w:r>
    </w:p>
    <w:p>
      <w:pPr>
        <w:pStyle w:val="ListParagraph"/>
        <w:numPr>
          <w:ilvl w:val="0"/>
          <w:numId w:val="2"/>
        </w:numPr>
        <w:spacing w:after="80" w:line="280"/>
      </w:pPr>
      <w:r>
        <w:rPr>
          <w:sz w:val="22"/>
          <w:szCs w:val="22"/>
        </w:rPr>
        <w:t xml:space="preserve">2025年前五大客户销售额12.05亿元，占年度营业收入42.03%；第一大客户占比16.76%，第二大客户占比11.06%。上述数据为2025年度口径，年报未披露前五大客户具体名称，无法判断其是否主要集中于储能行业。</w:t>
      </w:r>
    </w:p>
    <w:p>
      <w:pPr>
        <w:pStyle w:val="ListParagraph"/>
        <w:numPr>
          <w:ilvl w:val="0"/>
          <w:numId w:val="2"/>
        </w:numPr>
        <w:spacing w:after="80" w:line="280"/>
      </w:pPr>
      <w:r>
        <w:rPr>
          <w:sz w:val="22"/>
          <w:szCs w:val="22"/>
        </w:rPr>
        <w:t xml:space="preserve">工业温控设备通常需要经过客户技术测试、供应商认证和长期验证，形成一定准入壁垒；但储能温控市场竞争激烈，头部客户议价能力较强，订单价格下降会直接压缩公司毛利率。2024年公司已出现储能订单价格下降、电力电子装置温控产品毛利率下降的情况。</w:t>
      </w:r>
    </w:p>
    <w:p>
      <w:pPr>
        <w:pStyle w:val="ListParagraph"/>
        <w:numPr>
          <w:ilvl w:val="0"/>
          <w:numId w:val="2"/>
        </w:numPr>
        <w:spacing w:after="80" w:line="280"/>
      </w:pPr>
      <w:r>
        <w:rPr>
          <w:sz w:val="22"/>
          <w:szCs w:val="22"/>
        </w:rPr>
        <w:t xml:space="preserve">公司处于工业设备及关键温控部件环节，不具备资源品企业的基准定价权；下游议价关系主要表现为大客户项目定价、技术验证和订单价格竞争，而非单纯的终端品牌溢价。</w:t>
      </w:r>
    </w:p>
    <w:p>
      <w:pPr>
        <w:pStyle w:val="ListParagraph"/>
        <w:numPr>
          <w:ilvl w:val="0"/>
          <w:numId w:val="2"/>
        </w:numPr>
        <w:spacing w:after="80" w:line="280"/>
      </w:pPr>
      <w:r>
        <w:rPr>
          <w:sz w:val="22"/>
          <w:szCs w:val="22"/>
        </w:rPr>
        <w:t xml:space="preserve">截至2025年12月31日，应收账款账面余额9.20亿元，坏账准备0.46亿元，账面价值8.73亿元，约占2025年营业收入30.45%。2025年末余额前五名客户对应的应收账款和合同资产占全部应收账款及合同资产余额38.33%，低于2024年末的44.23%。2025年末预付款项约1,995万元，其中前五名预付款对象合计占78.48%；存货账面价值约2.79亿元。应收账款、存货及项目交付过程中的资金占用表明，公司并非完全处于强势收款地位，部分大客户和项目型订单对资金周转具有影响。</w:t>
      </w:r>
    </w:p>
    <w:p>
      <w:pPr>
        <w:pStyle w:val="ListParagraph"/>
        <w:numPr>
          <w:ilvl w:val="0"/>
          <w:numId w:val="2"/>
        </w:numPr>
        <w:spacing w:after="80" w:line="280"/>
      </w:pPr>
      <w:r>
        <w:rPr>
          <w:sz w:val="22"/>
          <w:szCs w:val="22"/>
        </w:rPr>
        <w:t xml:space="preserve">供应端方面，2025年前五大供应商采购额占年度采购总额20.19%，单一最大供应商占比5.18%，集中度相对有限；需求端方面，2025年前五大客户销售额占营业收入42.03%，第一大客户占16.76%，客户集中度明显高于供应商集中度。客户及供应商具体名称均未在2025年年报中披露，相关集中度数据仅能反映2025年度结构，无法进一步判断具体行业或关键零部件集中情况。</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26.33%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约9.88%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整体毛利率处于较高水平，主要受数控装备及工业温控业务毛利贡献、产品结构和部分高毛利订单影响。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毛利率同比下降4.27个百分点，电力电子装置温控产品毛利率降至18.85%，主要受行业竞争加剧、储能订单价格下降、部分头部客户大额订单毛利率较低及纯水冷却单元定制化新品订单毛利率偏低影响。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约8.82%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综合毛利率同比提升0.25个百分点，但液体恒温设备收入占比升至70.93%，其毛利率为19.38%，同比下降1.84个百分点；储能及电力电子业务放量与材料成本较高、订单价格竞争共同压制毛利率，净利率回升与收入规模扩大、期间费用率下降及经营效率改善有关。</w:t>
            </w:r>
          </w:p>
        </w:tc>
      </w:tr>
    </w:tbl>
    <w:p>
      <w:pPr>
        <w:spacing w:before="200"/>
      </w:pPr>
    </w:p>
    <w:p>
      <w:pPr>
        <w:spacing w:after="160" w:line="300"/>
      </w:pPr>
      <w:r>
        <w:rPr>
          <w:sz w:val="22"/>
          <w:szCs w:val="22"/>
        </w:rPr>
        <w:t xml:space="preserve">同飞股份位于工业温控产业链中游，既非上游资源或基础材料企业，也非拥有强品牌溢价的终端消费企业。其进一步提升利润率主要取决于储能及电力电子订单价格改善、产品结构优化、定制化溢价、液冷和热管理产品升级、材料成本控制、规模化采购及产能利用率提升，而不是单纯依靠行业需求增长。</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16.0804亿元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同比增长27.27%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归母净利润1.2796亿元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同比增长2.45%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12.6351亿元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数据未单独说明</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归母净利润1.2489亿元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数据未单独说明</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约9.09亿元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归母净利润约0.68亿元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同比增长8.25%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28.6748亿元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同比增长32.75%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归母净利润2.5290亿元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同比增长64.84%</w:t>
            </w:r>
          </w:p>
        </w:tc>
      </w:tr>
    </w:tbl>
    <w:p>
      <w:pPr>
        <w:spacing w:after="200"/>
      </w:pPr>
      <w:r>
        <w:rPr>
          <w:i/>
          <w:iCs/>
          <w:color w:val="595959"/>
          <w:sz w:val="18"/>
          <w:szCs w:val="18"/>
        </w:rPr>
        <w:t xml:space="preserve">最新正式财务报告为2026年半年度报告，报告期截至2026年6月30日。2026年上半年扣非归母净利润约1.25亿元，同比增长2.74%；基本每股收益0.75元，上年同期为0.74元。2026年上半年毛利率22.13%，上年同期23.65%；净利率约7.96%，上年同期9.88%；加权平均净资产收益率5.98%，上年同期6.50%；资产负债率25.64%。2025年全年扣非归母净利润约2.48亿元，同比增长70.09%。</w:t>
      </w:r>
    </w:p>
    <w:p>
      <w:pPr>
        <w:spacing w:after="160" w:line="300"/>
      </w:pPr>
      <w:r>
        <w:rPr>
          <w:sz w:val="22"/>
          <w:szCs w:val="22"/>
        </w:rPr>
        <w:t xml:space="preserve">2026年上半年公司收入保持较快增长，但归母净利润增速明显低于收入增速，毛利率和净利率同比下降，主要受大宗原材料成本上涨、研发及管理投入增加、海外业务拓展以及数据中心液冷业务扩张期投入影响。2026年第二季度利润增速较一季度有所改善，但仍低于收入增速。中金公司披露，2026年上半年储能领域收入约9.25亿元，同比增长36%；数控装备板块收入约4.74亿元，同比增长21.78%；海外收入约3.51亿元，同比增长344.51%。</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机构汇总口径截至2026年9月10日，近6个月共有9家机构参与预测。代表性券商预测包括：国盛证券（2026年8月16日）、中原证券（2026年9月10日）、国联民生证券（2026年9月9日）及中金公司（2026年8月31日）。上述预测为机构或券商情景假设，不是公司正式业绩承诺，也不等同于统一口径的严格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同花顺机构平均值未披露；代表性券商预测为42.32亿至45.53亿元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同花顺机构平均约3.95亿元，区间3.20亿至4.71亿元；代表性券商预测为3.40亿至4.70亿元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同花顺机构汇总未披露同比增速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同花顺机构平均约2.31元，区间1.87至2.76元；国联民生证券预测2.08元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代表性券商预测为60.27亿至63.51亿元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同花顺机构平均约6.64亿元，区间5.40亿至8.31亿元；代表性券商预测为5.71亿至8.00亿元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同花顺机构汇总未披露同比增速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同花顺机构平均约3.88元，区间3.15至4.85元；国联民生证券预测3.33元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代表性券商预测为81.25亿至85.93亿元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同花顺机构平均约9.45亿元，区间7.63亿至12.81亿元；代表性券商预测为8.12亿至9.30亿元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同花顺机构汇总未披露同比增速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同花顺机构平均约5.52元，区间4.46至7.48元；国联民生证券预测4.75元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目标价116.91元；下调2026年归母净利润预测至约3.4亿元，上调2027年归母净利润预测至约8.0亿元；对应2026年、2027年PE约45.3倍和19.3倍。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未披露明确目标价；预测2026—2028年归母净利润分别为3.56亿元、5.71亿元和8.12亿元，EPS分别为2.08元、3.33元和4.75元。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2026年9月8日至9月9日前后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研究纪要未披露明确目标价。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2026年9月2日前后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预测2026—2028年归母净利润分别为4.09亿元、6.01亿元和9.02亿元；对应预测PE约31.4倍、21.3倍和14.2倍。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首次覆盖；研究纪要未披露明确目标价。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首次覆盖；预测2026—2028年归母净利润分别为4.70亿元、6.50亿元和9.30亿元；对应估值约33倍、24倍和16倍PE。</w:t>
            </w:r>
          </w:p>
        </w:tc>
      </w:tr>
    </w:tbl>
    <w:p>
      <w:pPr>
        <w:spacing w:before="200"/>
      </w:pPr>
    </w:p>
    <w:p>
      <w:pPr>
        <w:spacing w:after="160" w:line="300"/>
      </w:pPr>
      <w:r>
        <w:rPr>
          <w:sz w:val="22"/>
          <w:szCs w:val="22"/>
        </w:rPr>
        <w:t xml:space="preserve">截至2026年9月11日，公司收盘价为86.20元，以约1.71亿股总股本粗略计算，总市值约147.6亿元。理杏仁数据显示，截至2026年9月10日股价89.56元时，PE-TTM约59.91倍，历史分位点约81.27%，近年50%分位点约48.15倍、80%分位点约59.60倍；按9月11日收盘价估算，PE-TTM大致约57.9倍。按同花顺机构平均盈利预测计算，2026—2028年动态PE约37.3倍、22.2倍和15.6倍；若采用中金公司2026年归母净利润约3.4亿元的预测，2026年PE约45倍；若采用国盛证券或中原证券约4.1亿至4.7亿元的预测，2026年PE约31至36倍。当前估值对2026年盈利并不便宜，市场已较多反映2027—2028年数据中心液冷业务放量及利润增长预期。公开资料显示，中金公司目标价为116.91元，以9月11日收盘价计算理论上涨空间约35.6%；但该目标价主要来自中金公司系列研报，不能视为充分分散的市场一致目标价。估值能否维持，取决于液冷业务订单、产能释放及利润率改善能否兑现；同时需关注原材料成本、储能温控竞争、海外业务及定增扩产项目爬坡等风险。2026年9月14日收盘价及估值数据未获得，价格估值部分以2026年9月11日最新可检索数据为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向特定对象发行股票获中国证监会同意注册</w:t>
      </w:r>
    </w:p>
    <w:p>
      <w:pPr>
        <w:spacing w:after="160" w:line="300"/>
      </w:pPr>
      <w:r>
        <w:rPr>
          <w:sz w:val="22"/>
          <w:szCs w:val="22"/>
        </w:rPr>
        <w:t xml:space="preserve">2026年8月28日，公司披露向特定对象发行股票申请获得中国证监会同意注册批复。批复有效期为自同意注册之日起12个月，发行需按照报送深交所的申报文件和发行方案实施。拟募集资金规模不超过11.40亿元，拟发行股份数量不超过5,117万股，最终发行价格、发行数量及发行对象尚待发行时确定。该事项目前处于注册批复后、发行实施前阶段，尚未形成实际募集资金到账。</w:t>
      </w:r>
    </w:p>
    <w:p>
      <w:pPr>
        <w:pStyle w:val="Heading2"/>
        <w:spacing w:after="120" w:before="240"/>
      </w:pPr>
      <w:r>
        <w:rPr>
          <w:b/>
          <w:bCs/>
          <w:color w:val="2E74B5"/>
          <w:sz w:val="24"/>
          <w:szCs w:val="24"/>
        </w:rPr>
        <w:t xml:space="preserve">4.2 2026年半年度报告披露，收入增长快于利润增长</w:t>
      </w:r>
    </w:p>
    <w:p>
      <w:pPr>
        <w:spacing w:after="160" w:line="300"/>
      </w:pPr>
      <w:r>
        <w:rPr>
          <w:sz w:val="22"/>
          <w:szCs w:val="22"/>
        </w:rPr>
        <w:t xml:space="preserve">公司于2026年8月28日披露2026年半年度报告，报告期为2026年1月1日至2026年6月30日。报告期内实现营业收入160,803.85万元，同比增长27.27%；归属于上市公司股东的净利润12,795.66万元，同比增长2.45%；扣除非经常性损益后的净利润12,522.63万元，同比增长2.74%。公司半年度不派发现金红利、不送红股、不以公积金转增股本。公司表示，境外收入快速增长，并继续加大数据中心、液冷等业务的市场拓展、研发及人才投入。</w:t>
      </w:r>
    </w:p>
    <w:p>
      <w:pPr>
        <w:pStyle w:val="Heading2"/>
        <w:spacing w:after="120" w:before="240"/>
      </w:pPr>
      <w:r>
        <w:rPr>
          <w:b/>
          <w:bCs/>
          <w:color w:val="2E74B5"/>
          <w:sz w:val="24"/>
          <w:szCs w:val="24"/>
        </w:rPr>
        <w:t xml:space="preserve">4.3 费用投入及汇兑损失对上半年利润增速形成压制</w:t>
      </w:r>
    </w:p>
    <w:p>
      <w:pPr>
        <w:spacing w:after="160" w:line="300"/>
      </w:pPr>
      <w:r>
        <w:rPr>
          <w:sz w:val="22"/>
          <w:szCs w:val="22"/>
        </w:rPr>
        <w:t xml:space="preserve">截至2026年9月11日，公司在投资者互动平台回复称，2026年上半年销售费用、管理费用和研发费用合计同比增加3,141.46万元，主要用于拓展数据中心等市场、引进人才、加大研发投入及完善境内外市场服务。公司同时披露，2026年上半年因外币汇率波动产生汇兑损失1,289.76万元。</w:t>
      </w:r>
    </w:p>
    <w:p>
      <w:pPr>
        <w:pStyle w:val="Heading2"/>
        <w:spacing w:after="120" w:before="240"/>
      </w:pPr>
      <w:r>
        <w:rPr>
          <w:b/>
          <w:bCs/>
          <w:color w:val="2E74B5"/>
          <w:sz w:val="24"/>
          <w:szCs w:val="24"/>
        </w:rPr>
        <w:t xml:space="preserve">4.4 “质量回报双提升”行动方案进展及分红安排</w:t>
      </w:r>
    </w:p>
    <w:p>
      <w:pPr>
        <w:spacing w:after="160" w:line="300"/>
      </w:pPr>
      <w:r>
        <w:rPr>
          <w:sz w:val="22"/>
          <w:szCs w:val="22"/>
        </w:rPr>
        <w:t xml:space="preserve">2026年8月28日，公司披露“质量回报双提升”行动方案进展公告。公司继续聚焦工业温控设备研发、制造、销售和服务，主要产品包括液体恒温设备、电气箱恒温装置、纯水冷却单元和特种换热器，应用于数控装备、电力电子、储能、半导体、数据中心、氢能及新能源汽车充换电等领域。公司制定了《未来三年（2026年—2028年）股东分红回报规划》。2026年1月7日，公司实施2025年前三季度权益分派，每10股派发现金红利2.00元，合计派发3,411.58万元；2026年5月8日实施2025年度权益分派，每10股派发现金红利3.00元，合计派发5,117.37万元。该公告未披露新增股份回购安排。</w:t>
      </w:r>
    </w:p>
    <w:p>
      <w:pPr>
        <w:pStyle w:val="Heading2"/>
        <w:spacing w:after="120" w:before="240"/>
      </w:pPr>
      <w:r>
        <w:rPr>
          <w:b/>
          <w:bCs/>
          <w:color w:val="2E74B5"/>
          <w:sz w:val="24"/>
          <w:szCs w:val="24"/>
        </w:rPr>
        <w:t xml:space="preserve">4.5 机构调研关注液冷业务及产能布局</w:t>
      </w:r>
    </w:p>
    <w:p>
      <w:pPr>
        <w:spacing w:after="160" w:line="300"/>
      </w:pPr>
      <w:r>
        <w:rPr>
          <w:sz w:val="22"/>
          <w:szCs w:val="22"/>
        </w:rPr>
        <w:t xml:space="preserve">2026年8月31日，公司披露投资者关系管理活动记录，参与机构包括浙商证券、新华基金、华夏基金、天弘基金、中邮基金、建信基金等。公司表示，液冷行业需求持续增长，正在增加人才投入和市场推广，并结合向特定对象发行股票募投项目加快相关产能布局。上述内容属于公司调研交流中的方向性说明，不等同于已签署并公告的重大订单，也不等同于已完成产能投产；定增资金是否实际到位、募投项目建设进度及液冷订单兑现情况仍待后续确认。</w:t>
      </w:r>
    </w:p>
    <w:p>
      <w:pPr>
        <w:pStyle w:val="Heading2"/>
        <w:spacing w:after="120" w:before="240"/>
      </w:pPr>
      <w:r>
        <w:rPr>
          <w:b/>
          <w:bCs/>
          <w:color w:val="2E74B5"/>
          <w:sz w:val="24"/>
          <w:szCs w:val="24"/>
        </w:rPr>
        <w:t xml:space="preserve">4.6 董事会换届完成及高级管理人员调整</w:t>
      </w:r>
    </w:p>
    <w:p>
      <w:pPr>
        <w:spacing w:after="160" w:line="300"/>
      </w:pPr>
      <w:r>
        <w:rPr>
          <w:sz w:val="22"/>
          <w:szCs w:val="22"/>
        </w:rPr>
        <w:t xml:space="preserve">2026年8月10日，公司召开2026年第三次临时股东会完成董事会换届，新一届董事会由5名非独立董事、3名独立董事及1名职工代表董事组成，任期为2026年8月10日至2029年8月9日。同日，公司完成管理层聘任：张国山继续担任董事长，张浩雷担任总经理，高宇担任常务副总经理、财务总监，宋朋担任董事会秘书，赵颖担任证券事务代表，张军奇担任审计部负责人。高宇不再担任董事会秘书，但继续担任董事、常务副总经理及财务总监；吴国荣任期届满，不再担任副总经理，但仍在公司担任其他职务。</w:t>
      </w:r>
    </w:p>
    <w:p>
      <w:pPr>
        <w:pStyle w:val="Heading2"/>
        <w:spacing w:after="120" w:before="240"/>
      </w:pPr>
      <w:r>
        <w:rPr>
          <w:b/>
          <w:bCs/>
          <w:color w:val="2E74B5"/>
          <w:sz w:val="24"/>
          <w:szCs w:val="24"/>
        </w:rPr>
        <w:t xml:space="preserve">4.7 半年报业绩说明会安排</w:t>
      </w:r>
    </w:p>
    <w:p>
      <w:pPr>
        <w:spacing w:after="160" w:line="300"/>
      </w:pPr>
      <w:r>
        <w:rPr>
          <w:sz w:val="22"/>
          <w:szCs w:val="22"/>
        </w:rPr>
        <w:t xml:space="preserve">2026年9月10日，公司披露将参加2026年河北辖区上市公司投资者网上集体接待日暨2026年半年报业绩说明会。活动拟于2026年9月16日14:00—17:00举行，公司与投资者在线互动时间为15:30—17:00。董事长张国山、总经理张浩雷、常务副总经理兼财务总监高宇、董事会秘书宋朋等将参加交流。截至2026年9月14日，说明会尚未召开，投资者问答内容尚待后续披露。</w:t>
      </w:r>
    </w:p>
    <w:p>
      <w:pPr>
        <w:pStyle w:val="Heading2"/>
        <w:spacing w:after="120" w:before="240"/>
      </w:pPr>
      <w:r>
        <w:rPr>
          <w:b/>
          <w:bCs/>
          <w:color w:val="2E74B5"/>
          <w:sz w:val="24"/>
          <w:szCs w:val="24"/>
        </w:rPr>
        <w:t xml:space="preserve">4.8 第三期限制性股票激励计划获股东会审议通过</w:t>
      </w:r>
    </w:p>
    <w:p>
      <w:pPr>
        <w:spacing w:after="160" w:line="300"/>
      </w:pPr>
      <w:r>
        <w:rPr>
          <w:sz w:val="22"/>
          <w:szCs w:val="22"/>
        </w:rPr>
        <w:t xml:space="preserve">公司第三期限制性股票激励计划于2026年6月18日经董事会审议，并于2026年7月9日经2026年第二次临时股东会审议通过。该事项属于员工激励安排，不属于股份回购或普通股东减持。截至2026年9月14日，尚未检索到完整的后续授予及股份登记结果公告，具体授予数量、授予价格和实际归属进度待后续正式公告确认。</w:t>
      </w:r>
    </w:p>
    <w:p>
      <w:pPr>
        <w:pStyle w:val="Heading2"/>
        <w:spacing w:after="120" w:before="240"/>
      </w:pPr>
      <w:r>
        <w:rPr>
          <w:b/>
          <w:bCs/>
          <w:color w:val="2E74B5"/>
          <w:sz w:val="24"/>
          <w:szCs w:val="24"/>
        </w:rPr>
        <w:t xml:space="preserve">4.9 近期未发现新的减持、回购、并购及重大监管事项</w:t>
      </w:r>
    </w:p>
    <w:p>
      <w:pPr>
        <w:spacing w:after="160" w:line="300"/>
      </w:pPr>
      <w:r>
        <w:rPr>
          <w:sz w:val="22"/>
          <w:szCs w:val="22"/>
        </w:rPr>
        <w:t xml:space="preserve">截至2026年9月14日，未发现控股股东、实际控制人或其一致行动人披露新的集中竞价减持计划、减持实施完毕公告或权益变动达到1%的公告；未检索到新的股份回购方案、回购报告书或回购实施进展公告；未检索到重大资产购买、出售、吸收合并、对外并购或控制权变更公告；未检索到公司近期受到中国证监会、深交所公开处罚、立案调查、纪律处分或重大监管措施的公告。上述结论基于本次检索到的公开信息，后续如出现问询函、关注函或监管措施，应以监管机构及公司正式披露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证券信息</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A股代码300990，同飞股份，三河同飞制冷股份有限公司，深圳证券交易所创业板上市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86.20元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下跌3.36元，跌幅3.75%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开盘87.61元，最高89.19元，最低82.48元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约705.75万股，约7.06万手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约6.01亿至6.02亿元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约8.52%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总市值约147.59亿元；流通市值约71.42亿至71.65亿元，不同平台存在小幅口径差异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约57.5倍至58.4倍；不同平台及更新时间存在轻微差异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52周高点125.99元，52周低点59.81元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相对52周区间表现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较52周高点回落约31.6%，较52周低点上涨约44.1%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2026年9月3日收盘107.21元，至9月11日收盘86.20元，累计回落约19.6%；近5个交易日由97.60元跌至86.20元，累计跌幅约11.7%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短期处于高波动调整状态，连续收跌且价格重心下移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MA5约91.89元，MA10约96.43元，MA20约87.09元；9月11日收盘价86.20元低于三条均线</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短线趋势偏弱；价格接近MA20，若不能重新站回约87.0至92.0元区域，MA20可能由支撑转为反压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中长期均线参考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Investing页面截至2026年9月10日显示MA100约86.49元、MA200约81.69元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现价接近MA100，81.7至82.0元附近存在较重要的中长期均线支撑参考；平台数据与自行计算均线存在口径差异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Investing页面截至2026年9月10日MACD(12,26)约为-2.14，评级为卖出；大波浪页面显示MACD柱约为+0.98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不同来源方向存在差异，可能与复权口径、计算周期和更新时间不同有关；趋势动能仍不强，不能据此确认反转或明确金叉</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Investing页面截至2026年9月10日RSI(14)约32.13；大波浪页面RSI6约43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短线明显降温，处于偏弱或中性偏弱区域；RSI周期不同，不能直接比较，尚未形成底部确认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基于近20个交易日不复权收盘价估算：中轨约87.09元，上轨约113.77元，下轨约60.42元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股价略低于中轨且远高于下轨，表现为高波动区间内跌破中轨后的弱势调整；下轨受近期高波动抬高的标准差影响，不宜直接视为近期目标价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截至2026年9月10日，主力资金净流出约5682万元；近10个交易日合计净流出约9917万元；最近3个交易日连续净流出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第三方数据口径显示资金面偏弱；9月11日完整主力资金净额未取得可交叉核实数据，不对当日资金方向作确定性判断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大波浪模型估算：获利盘比例约14.1%，平均成本约93.39元，中位成本约93.60元，70%筹码区间约86.40至100.00元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现价低于中位成本，历史成交筹码多数处于浮亏状态；该数据为模型估算，不是交易所或上市公司直接披露的精确持仓成本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截至2026年6月30日，前十大股东合计持股约1.26亿股，占总股本约73.61%；前十大流通股东合计持有约3801.35万股，占流通盘约45.89%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股权集中度较高，前四名主要为实际控制人及关联家庭成员，合计持股约68.55%；数据距离最新行情约两个半月，期间结构可能已发生变化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截至2026年6月30日，同花顺数据显示约179家机构持仓，持股约1505.91万股，占流通盘约18.18%；其中基金持仓约8.50%，QFII约1.44%，阳光私募约0.68%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公募基金、QFII等机构有一定参与，但前十大股东主体仍以控股股东及家庭关联股东为主，并非公募基金绝对主导的机构化筹码结构；数据存在季度滞后</w:t>
            </w:r>
          </w:p>
        </w:tc>
      </w:tr>
    </w:tbl>
    <w:p>
      <w:pPr>
        <w:spacing w:before="200"/>
      </w:pPr>
    </w:p>
    <w:p>
      <w:pPr>
        <w:spacing w:after="160" w:line="300"/>
      </w:pPr>
      <w:r>
        <w:rPr>
          <w:sz w:val="22"/>
          <w:szCs w:val="22"/>
        </w:rPr>
        <w:t xml:space="preserve">截至2026年9月11日收盘，同飞股份报86.20元，短期价格低于自行计算的MA5、MA10和MA20，且近5个交易日累计下跌约11.7%，技术形态偏弱。股价接近MA20及MA100参考位置，但尚未形成有效企稳信号。MACD、RSI在不同平台间存在口径差异，当前仅能确认短线动能偏弱、价格高波动调整，不能据此确认反转。资金方面，截至9月10日第三方数据显示主力资金连续净流出；近期成交额由9月4日约15.34亿元逐步降至9月11日约6.01亿元，交易热度较高位回落。股东结构数据显示前十大股东集中度较高，但相关数据截至2026年6月30日，不能视为9月11日的实时持仓结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89.0~93.5元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对应9月11日盘中高点89.19元、9月10日收盘89.56元、MA5约91.89元及近期交易密集区；若有效收复93元附近，可进一步观察96~100元区域，但不构成单点价格预测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85.5~87.2元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对应9月11日收盘价86.20元、MA20约87.09元及筹码模型70%成本区间下沿约86.40元；若持续收盘于85.5元下方，弱势结构可能进一步确认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81.5~83.5元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对应9月11日盘中低点82.48元、8月下旬价格密集区域及MA200约81.69元参考值；若有效跌破81.5~82.0元，下一观察区间为78.0~80.0元，若78元附近也失守，则需关注67.3~70.0元前期阶段低位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该权重为基于当前技术面、成交量和资金流向的主观启发式判断，不是统计概率）：参考区间为82.5~92.0元。触发条件包括价格守住82.5元附近，成交额回落至约5亿~8亿元且卖压边际减弱，股价尝试收复MA20约87.0元但尚未有效突破MA5及短期压力约92元。若出现该情景，更接近快速上涨后的高波动整理，不能视为趋势反转确认</w:t>
      </w:r>
    </w:p>
    <w:p>
      <w:pPr>
        <w:pStyle w:val="ListParagraph"/>
        <w:numPr>
          <w:ilvl w:val="0"/>
          <w:numId w:val="2"/>
        </w:numPr>
        <w:spacing w:after="80" w:line="280"/>
      </w:pPr>
      <w:r>
        <w:rPr>
          <w:sz w:val="22"/>
          <w:szCs w:val="22"/>
        </w:rPr>
        <w:t xml:space="preserve">偏弱下行（权重中等，约三成；该权重为主观启发式判断，不是统计概率）：参考区间为78.0~85.5元。触发条件包括日收盘有效跌破82.5元、主力资金继续净流出、成交额重新放大至8亿元以上但收盘仍接近当日低位，或机械设备、创业板整体继续走弱。若82元附近支撑失守，可观察78~80元区域；若放量长阴且成交额超过10亿元而承接不明显，需关注进一步回试67.3~70.0元区间的风险</w:t>
      </w:r>
    </w:p>
    <w:p>
      <w:pPr>
        <w:pStyle w:val="ListParagraph"/>
        <w:numPr>
          <w:ilvl w:val="0"/>
          <w:numId w:val="2"/>
        </w:numPr>
        <w:spacing w:after="80" w:line="280"/>
      </w:pPr>
      <w:r>
        <w:rPr>
          <w:sz w:val="22"/>
          <w:szCs w:val="22"/>
        </w:rPr>
        <w:t xml:space="preserve">反弹走强（权重偏低，约一成至两成；该权重为主观启发式判断，不是统计概率）：参考区间为90.0~98.0元。触发条件包括股价重新站上89.5~92.0元区域，单日成交额放大至10亿元以上且收盘处于当日相对高位，MACD柱状指标继续改善、RSI14重新回到40~50以上，并进一步突破96元附近的MA10参考压力。若仅以低成交额反抽至90元附近，仍可能属于弱势反弹，不能视为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日换手率约8.52%，近5个交易日成交额约6.0亿至10.7亿元；9月4日高位阶段成交额曾达到约15.34亿元。近期高位放量后成交额逐步收缩，说明短线交易热度回落，但约8.5%的日换手率仍不低，筹码尚未完全沉淀。股东结构方面，截至2026年6月30日，前十大股东持股约73.61%，控股股东及家庭关联股东合计持股约68.55%；前十大流通股东占流通盘约45.89%。同花顺同期数据显示公募基金、QFII等机构有一定参与，但整体并非公募基金绝对主导。由于股东数据距最新行情约两个半月，期间可能发生交易、解禁、再融资或机构调仓，不能视为实时结构。较高股权集中度意味着实际可交易筹码可能相对集中，在高波动行情中可能放大价格弹性和短线冲击；上述数据只能说明交易活跃度和筹码背景，不能单独判断后续方向。</w:t>
      </w:r>
    </w:p>
    <w:p>
      <w:pPr>
        <w:spacing w:after="160" w:line="300"/>
      </w:pPr>
      <w:r>
        <w:rPr>
          <w:sz w:val="22"/>
          <w:szCs w:val="22"/>
        </w:rPr>
        <w:t xml:space="preserve">若未来一周出现单日成交额持续放大至10亿元以上，同时收盘价重新站上92元附近，且主力资金不再连续净流出，可作为短线资金承接改善的可检查观察信号；若成交额放大但收盘继续跌破82元，则更接近放量派发或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观察思路，非操作指令：关注85.5~87.2元区域能否重新形成收盘支撑，尤其观察MA20约87.09元附近的得失。</w:t>
      </w:r>
    </w:p>
    <w:p>
      <w:pPr>
        <w:pStyle w:val="ListParagraph"/>
        <w:numPr>
          <w:ilvl w:val="0"/>
          <w:numId w:val="2"/>
        </w:numPr>
        <w:spacing w:after="80" w:line="280"/>
      </w:pPr>
      <w:r>
        <w:rPr>
          <w:sz w:val="22"/>
          <w:szCs w:val="22"/>
        </w:rPr>
        <w:t xml:space="preserve">观察思路，非操作指令：关注81.5~83.5元强支撑区是否被有效跌破；若跌破，可进一步观察78.0~80.0元区间。</w:t>
      </w:r>
    </w:p>
    <w:p>
      <w:pPr>
        <w:pStyle w:val="ListParagraph"/>
        <w:numPr>
          <w:ilvl w:val="0"/>
          <w:numId w:val="2"/>
        </w:numPr>
        <w:spacing w:after="80" w:line="280"/>
      </w:pPr>
      <w:r>
        <w:rPr>
          <w:sz w:val="22"/>
          <w:szCs w:val="22"/>
        </w:rPr>
        <w:t xml:space="preserve">观察思路，非操作指令：关注89.0~93.5元压力区能否在成交额配合下被收复；若不能，反弹可能仍属于技术性修复。</w:t>
      </w:r>
    </w:p>
    <w:p>
      <w:pPr>
        <w:pStyle w:val="ListParagraph"/>
        <w:numPr>
          <w:ilvl w:val="0"/>
          <w:numId w:val="2"/>
        </w:numPr>
        <w:spacing w:after="80" w:line="280"/>
      </w:pPr>
      <w:r>
        <w:rPr>
          <w:sz w:val="22"/>
          <w:szCs w:val="22"/>
        </w:rPr>
        <w:t xml:space="preserve">观察思路，非操作指令：关注单日成交额是否重新达到10亿元以上，并与价格收复92元附近形成同步确认；同时注意9月11日完整主力资金数据尚未取得交叉验证。</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工业温控行业底层制冷、换热和控制技术相对成熟，但不同下游对温控精度、可靠性、响应速度、环境适应性和系统集成能力要求不同，因此存在技术、经验和客户认证壁垒。不同细分行业的温控技术具有一定共通性，企业可依托平台化研发能力拓展应用场景；储能温控、数据中心液冷等新兴市场则吸引传统工业温控、精密空调和电力电子热管理企业共同进入。</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行业竞争并非完全同质化竞争，企业在客户行业、产品形态和技术路线方面存在差异。</w:t>
      </w:r>
    </w:p>
    <w:p>
      <w:pPr>
        <w:pStyle w:val="ListParagraph"/>
        <w:numPr>
          <w:ilvl w:val="0"/>
          <w:numId w:val="2"/>
        </w:numPr>
        <w:spacing w:after="80" w:line="280"/>
      </w:pPr>
      <w:r>
        <w:rPr>
          <w:sz w:val="22"/>
          <w:szCs w:val="22"/>
        </w:rPr>
        <w:t xml:space="preserve">下游客户通常需要对温控设备进行长期测试和多轮技术验证，供应商准入存在品牌、技术和服务壁垒。</w:t>
      </w:r>
    </w:p>
    <w:p>
      <w:pPr>
        <w:pStyle w:val="ListParagraph"/>
        <w:numPr>
          <w:ilvl w:val="0"/>
          <w:numId w:val="2"/>
        </w:numPr>
        <w:spacing w:after="80" w:line="280"/>
      </w:pPr>
      <w:r>
        <w:rPr>
          <w:sz w:val="22"/>
          <w:szCs w:val="22"/>
        </w:rPr>
        <w:t xml:space="preserve">储能温控和数据中心液冷是公司重点拓展的新兴场景，但公司主营业务仍以工业温控为核心，不能直接定义为单一数据中心液冷或“AI液冷纯标的”。</w:t>
      </w:r>
    </w:p>
    <w:p>
      <w:pPr>
        <w:pStyle w:val="ListParagraph"/>
        <w:numPr>
          <w:ilvl w:val="0"/>
          <w:numId w:val="2"/>
        </w:numPr>
        <w:spacing w:after="80" w:line="280"/>
      </w:pPr>
      <w:r>
        <w:rPr>
          <w:sz w:val="22"/>
          <w:szCs w:val="22"/>
        </w:rPr>
        <w:t xml:space="preserve">储能温控市场集中度仍不算高，英维克、同飞股份、申菱环境等企业已形成较明显的头部梯队。第三方资料称，2023年中国储能温控市场前五家企业包括英维克、同飞股份、申菱环境、高澜股份和松芝股份；该市场份额信息未在公司年报中独立交叉验证，具体份额应谨慎使用。</w:t>
      </w:r>
    </w:p>
    <w:p>
      <w:pPr>
        <w:pStyle w:val="ListParagraph"/>
        <w:numPr>
          <w:ilvl w:val="0"/>
          <w:numId w:val="2"/>
        </w:numPr>
        <w:spacing w:after="80" w:line="280"/>
      </w:pPr>
      <w:r>
        <w:rPr>
          <w:sz w:val="22"/>
          <w:szCs w:val="22"/>
        </w:rPr>
        <w:t xml:space="preserve">同飞股份2023—2025年产能利用率分别为117.37%、124.70%和121.36%，显示现有生产体系存在扩产压力；但公司未以统一口径充分披露各产品绝对设计产能，产能利用率不能简单与销售量等同。</w:t>
      </w:r>
    </w:p>
    <w:p>
      <w:pPr>
        <w:pStyle w:val="ListParagraph"/>
        <w:numPr>
          <w:ilvl w:val="0"/>
          <w:numId w:val="2"/>
        </w:numPr>
        <w:spacing w:after="80" w:line="280"/>
      </w:pPr>
      <w:r>
        <w:rPr>
          <w:sz w:val="22"/>
          <w:szCs w:val="22"/>
        </w:rPr>
        <w:t xml:space="preserve">公司规划新增南方总部暨工业领域冷却设备及组件项目年产18万台（套）、液冷温控项目年产9万台（套），合计规划新增27万台（套）；上述项目属于规划及募投项目产能，不应视为截至目前已经完全投产的有效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英维克（002837.SZ）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精密温控节能设备，覆盖数据中心、通信、储能、风电、光伏、电力电网、轨道交通及车辆空调等领域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相较同飞股份，在数据中心、通信机房、服务器温控及精密空调领域布局更深，数据中心客户资源和品牌影响力更强；2025年度营业收入约60.68亿元，归母净利润约5.22亿元。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高澜股份（300499.SZ）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热管理设备及控制系统，重点产品包括直流输电换流阀液冷设备、大功率电力电子热管理产品、服务器液冷板、CDU及工程运维服务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与同飞股份在电力电子温控、纯水冷却和数据中心液冷方面重合度较高，更偏重大功率电力电子和液冷技术；2025年度营业收入约9.89亿元，归母净利润约0.28亿元。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申菱环境（301018.SZ）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特种环境控制设备及相关服务，覆盖专用空调、数据中心温控设备、工业环境控制设备及VOCs治理设备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业务覆盖人工环境调控、数据中心、工业制造、轨道交通及储能等场景，与同飞股份在储能温控、工业温控和数据中心液冷方面形成一定竞争；2025年度营业收入约42.09亿元，归母净利润约2.17亿元。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佳力图（603912.SH）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数据中心机房等精密环境控制领域的控温、节能设备及技术服务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与同飞股份的直接重合主要集中在数据中心精密温控、机房空调及部分液冷应用；佳力图更偏向数据中心机房环境控制，同飞股份更偏向工业温控、储能、电力电子及数控装备。</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松芝股份（002454.SZ）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车辆空调、热管理及相关制冷设备，并在储能温控领域有所布局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同飞股份的重合主要在储能热管理及部分新能源热管理场景；其传统优势更集中于汽车空调和车辆热管理，工业温控及数控装备温控并非核心业务。其储能温控市场份额资料主要来自第三方，未与公司正式披露文件或松芝股份年报交叉验证。</w:t>
            </w:r>
          </w:p>
        </w:tc>
      </w:tr>
    </w:tbl>
    <w:p>
      <w:pPr>
        <w:spacing w:before="200"/>
      </w:pPr>
    </w:p>
    <w:p>
      <w:pPr>
        <w:spacing w:after="160" w:line="300"/>
      </w:pPr>
      <w:r>
        <w:rPr>
          <w:sz w:val="22"/>
          <w:szCs w:val="22"/>
        </w:rPr>
        <w:t xml:space="preserve">同飞股份的差异化定位是以工业温控为基础，覆盖电力电子、储能、数控装备、半导体和数据中心等多个场景，液体恒温设备已成为核心产品；英维克更偏数据中心、通信和精密空调，高澜股份更偏大功率电力电子及液冷，申菱环境覆盖特种环境控制和数据中心等更广泛场景，佳力图更聚焦数据中心机房环境控制，松芝股份则具有车辆空调和汽车热管理传统优势。同飞股份的主要竞争压力来自储能温控价格竞争、直接材料高占比、前五大客户集中度较高，以及数据中心液冷领域多家企业的进入。</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成本和毛利率风险：公司主要产品直接材料占成本比例较高，其中液体恒温设备为86.13%、纯水冷却单元为89.33%；若压缩机、水泵、风机及铜铝钢材等成本上涨，而公司无法同步向客户传导，可能继续压缩毛利率。2026年上半年毛利率已由上年同期23.65%降至22.13%。</w:t>
      </w:r>
    </w:p>
    <w:p>
      <w:pPr>
        <w:pStyle w:val="ListParagraph"/>
        <w:numPr>
          <w:ilvl w:val="0"/>
          <w:numId w:val="2"/>
        </w:numPr>
        <w:spacing w:after="80" w:line="280"/>
      </w:pPr>
      <w:r>
        <w:rPr>
          <w:sz w:val="22"/>
          <w:szCs w:val="22"/>
        </w:rPr>
        <w:t xml:space="preserve">储能及电力电子业务价格竞争风险：液体恒温设备占2025年收入70.93%，电力电子装置温控产品占收入68.94%；公司已披露储能订单价格下降及大额客户订单毛利率较低的情况，若行业竞争加剧，收入增长可能无法同步带来利润增长。</w:t>
      </w:r>
    </w:p>
    <w:p>
      <w:pPr>
        <w:pStyle w:val="ListParagraph"/>
        <w:numPr>
          <w:ilvl w:val="0"/>
          <w:numId w:val="2"/>
        </w:numPr>
        <w:spacing w:after="80" w:line="280"/>
      </w:pPr>
      <w:r>
        <w:rPr>
          <w:sz w:val="22"/>
          <w:szCs w:val="22"/>
        </w:rPr>
        <w:t xml:space="preserve">客户集中及回款风险：2025年前五大客户销售额占营业收入42.03%，第一大客户占16.76%；期末应收账款账面价值8.73亿元，约占2025年收入30.45%。大客户议价、项目交付节奏或回款周期变化，可能影响现金流和资产减值。</w:t>
      </w:r>
    </w:p>
    <w:p>
      <w:pPr>
        <w:pStyle w:val="ListParagraph"/>
        <w:numPr>
          <w:ilvl w:val="0"/>
          <w:numId w:val="2"/>
        </w:numPr>
        <w:spacing w:after="80" w:line="280"/>
      </w:pPr>
      <w:r>
        <w:rPr>
          <w:sz w:val="22"/>
          <w:szCs w:val="22"/>
        </w:rPr>
        <w:t xml:space="preserve">数据中心液冷业务兑现风险：公司正在增加数据中心液冷领域的人才、研发和市场投入，但机构调研内容属于方向性说明，并不等同于已签署重大订单或已完成产能投产；若客户验证、订单导入或项目建设进度低于预期，相关投入可能阶段性压制利润。</w:t>
      </w:r>
    </w:p>
    <w:p>
      <w:pPr>
        <w:pStyle w:val="ListParagraph"/>
        <w:numPr>
          <w:ilvl w:val="0"/>
          <w:numId w:val="2"/>
        </w:numPr>
        <w:spacing w:after="80" w:line="280"/>
      </w:pPr>
      <w:r>
        <w:rPr>
          <w:sz w:val="22"/>
          <w:szCs w:val="22"/>
        </w:rPr>
        <w:t xml:space="preserve">定增及扩产实施风险：向特定对象发行股票虽已获中国证监会同意注册，拟募集资金不超过11.40亿元，但截至目前尚未完成发行及资金到账；新增产能和募投项目仍面临发行价格、发行数量、建设进度、产能爬坡及利用率不及预期的风险。</w:t>
      </w:r>
    </w:p>
    <w:p>
      <w:pPr>
        <w:pStyle w:val="ListParagraph"/>
        <w:numPr>
          <w:ilvl w:val="0"/>
          <w:numId w:val="2"/>
        </w:numPr>
        <w:spacing w:after="80" w:line="280"/>
      </w:pPr>
      <w:r>
        <w:rPr>
          <w:sz w:val="22"/>
          <w:szCs w:val="22"/>
        </w:rPr>
        <w:t xml:space="preserve">海外业务经营风险：2025年境外收入同比增长269.92%，2026年上半年海外收入约增长344.51%，但公司上半年发生汇兑损失1,289.76万元；海外市场拓展、汇率波动及境外服务投入可能造成收入增长与利润贡献不匹配。</w:t>
      </w:r>
    </w:p>
    <w:p>
      <w:pPr>
        <w:pStyle w:val="ListParagraph"/>
        <w:numPr>
          <w:ilvl w:val="0"/>
          <w:numId w:val="2"/>
        </w:numPr>
        <w:spacing w:after="80" w:line="280"/>
      </w:pPr>
      <w:r>
        <w:rPr>
          <w:sz w:val="22"/>
          <w:szCs w:val="22"/>
        </w:rPr>
        <w:t xml:space="preserve">估值与股价波动风险：截至2026年9月11日公司PE-TTM约57.5至58.4倍，股价较52周高点回落约31.6%，近期低于MA5、MA10和MA20，且第三方数据显示主力资金连续净流出。若液冷订单、利润率修复或扩产兑现不及市场预期，估值波动可能进一步放大。</w:t>
      </w:r>
    </w:p>
    <w:p>
      <w:pPr>
        <w:pStyle w:val="ListParagraph"/>
        <w:numPr>
          <w:ilvl w:val="0"/>
          <w:numId w:val="2"/>
        </w:numPr>
        <w:spacing w:after="80" w:line="280"/>
      </w:pPr>
      <w:r>
        <w:rPr>
          <w:sz w:val="22"/>
          <w:szCs w:val="22"/>
        </w:rPr>
        <w:t xml:space="preserve">产能利用率及运营效率风险：公司2023年至2025年产能利用率均超过117%，现有体系存在扩产压力；若新增产能投放后需求、客户认证或订单结构未能同步改善，可能出现产能爬坡、固定成本摊薄不足或存货及营运资金占用增加的情况。</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同飞股份的增长逻辑主要建立在工业温控基本盘扩张、储能及电力电子温控需求增长、海外市场拓展，以及数据中心液冷等新场景的研发和产能投入之上。公司2023年至2025年产能利用率分别为117.37%、124.70%和121.36%，显示现有生产体系存在扩产压力；规划中的南方总部及相关项目合计新增产能27万台（套），若发行实施、产能建设和客户导入顺利，可能为中期收入增长提供支撑。</w:t>
      </w:r>
    </w:p>
    <w:p>
      <w:pPr>
        <w:spacing w:after="160" w:line="300"/>
      </w:pPr>
      <w:r>
        <w:rPr>
          <w:sz w:val="22"/>
          <w:szCs w:val="22"/>
        </w:rPr>
        <w:t xml:space="preserve">需要关注的是，2026年上半年收入增速明显高于利润增速，反映规模扩张仍伴随毛利率压力、费用投入和汇兑波动。未来业绩能否进一步释放，取决于储能及电力电子订单价格、材料成本控制、数据中心液冷订单与产能利用率，以及海外业务投入能否转化为稳定利润；机构对2026年至2028年的盈利预测区间差异较大，说明业绩兑现仍存在不确定性。</w:t>
      </w:r>
    </w:p>
    <w:p>
      <w:pPr>
        <w:spacing w:after="160" w:line="300"/>
      </w:pPr>
      <w:r>
        <w:rPr>
          <w:sz w:val="22"/>
          <w:szCs w:val="22"/>
        </w:rPr>
        <w:t xml:space="preserve">估值和交易层面亦处于较高敏感度区间。按2026年9月11日收盘价估算，公司PE-TTM约57.9倍，市场已较多反映液冷业务放量及后续利润增长预期；同时股价近期跌破多条短期均线，主力资金数据呈连续净流出，短期趋势尚未形成明确企稳信号。因此，公司基本面扩张与估值消化、利润率修复及技术面修复之间的匹配程度，将是后续观察重点。</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同飞股份(300990)_公司公告_同飞股份：2025年年度报告摘要新浪财经_新浪网 — https://money.finance.sina.com.cn/corp/view/vCB_AllBulletinDetail.php?id=12051977&amp;stockid=300990</w:t>
      </w:r>
    </w:p>
    <w:p>
      <w:pPr>
        <w:spacing w:after="200"/>
      </w:pPr>
      <w:r>
        <w:rPr>
          <w:i/>
          <w:iCs/>
          <w:color w:val="595959"/>
          <w:sz w:val="18"/>
          <w:szCs w:val="18"/>
        </w:rPr>
        <w:t xml:space="preserve">https://pdf.dfcfw.com/pdf/H2_AN202603311820920637_1.pdf — https://pdf.dfcfw.com/pdf/H2_AN202603311820920637_1.pdf</w:t>
      </w:r>
    </w:p>
    <w:p>
      <w:pPr>
        <w:spacing w:after="200"/>
      </w:pPr>
      <w:r>
        <w:rPr>
          <w:i/>
          <w:iCs/>
          <w:color w:val="595959"/>
          <w:sz w:val="18"/>
          <w:szCs w:val="18"/>
        </w:rPr>
        <w:t xml:space="preserve">同飞股份 — https://www.tonfy.com/cn/?utm_source=openai</w:t>
      </w:r>
    </w:p>
    <w:p>
      <w:pPr>
        <w:spacing w:after="200"/>
      </w:pPr>
      <w:r>
        <w:rPr>
          <w:i/>
          <w:iCs/>
          <w:color w:val="595959"/>
          <w:sz w:val="18"/>
          <w:szCs w:val="18"/>
        </w:rPr>
        <w:t xml:space="preserve">2023 年度至 2025 年度，公司产能利用率分别为 117.37%、124.70%和 121.36%。为了缓解产能压力，保证生产的稳定性，公司本次通过新建厂房及购置设备的方式对工业温控设备产能进行扩产，系根据实际发展需要而作出的决策，新建厂房建筑面积与单位产值相匹配，具有必要性和合理性。 — https://static.cninfo.com.cn/finalpage/2026-07-13/1225422080.PDF?utm_source=openai</w:t>
      </w:r>
    </w:p>
    <w:p>
      <w:pPr>
        <w:spacing w:after="200"/>
      </w:pPr>
      <w:r>
        <w:rPr>
          <w:i/>
          <w:iCs/>
          <w:color w:val="595959"/>
          <w:sz w:val="18"/>
          <w:szCs w:val="18"/>
        </w:rPr>
        <w:t xml:space="preserve">问题2
根据申报材料，本次发行拟募集资金12亿元，为竞价发行，拟用于南方总部暨工业领域冷却设备及组 — https://static.cninfo.com.cn/finalpage/2026-05-26/1225331693.PDF?utm_source=openai</w:t>
      </w:r>
    </w:p>
    <w:p>
      <w:pPr>
        <w:spacing w:after="200"/>
      </w:pPr>
      <w:r>
        <w:rPr>
          <w:i/>
          <w:iCs/>
          <w:color w:val="595959"/>
          <w:sz w:val="18"/>
          <w:szCs w:val="18"/>
        </w:rPr>
        <w:t xml:space="preserve">同飞股份(300990)_公司公告_1-1招股说明书（注册环节反馈回复更新）（注册稿）新浪财经_新浪网 — https://money.finance.sina.com.cn/corp/view/vCB_AllBulletinDetail.php?id=7038236&amp;stockid=300990&amp;utm_source=openai</w:t>
      </w:r>
    </w:p>
    <w:p>
      <w:pPr>
        <w:spacing w:after="200"/>
      </w:pPr>
      <w:r>
        <w:rPr>
          <w:i/>
          <w:iCs/>
          <w:color w:val="595959"/>
          <w:sz w:val="18"/>
          <w:szCs w:val="18"/>
        </w:rPr>
        <w:t xml:space="preserve">同飞股份(300990)：工业温控积累深厚 数据中心等新兴行业拓展有望打开新成长空间 — https://quote.cfi.cn/ybdata.aspx?id=20260910000041</w:t>
      </w:r>
    </w:p>
    <w:p>
      <w:pPr>
        <w:spacing w:after="200"/>
      </w:pPr>
      <w:r>
        <w:rPr>
          <w:i/>
          <w:iCs/>
          <w:color w:val="595959"/>
          <w:sz w:val="18"/>
          <w:szCs w:val="18"/>
        </w:rPr>
        <w:t xml:space="preserve">公司公告_同飞股份：最近一年的财务报告及其审计报告以及最近一期的财务报告新浪财经_新浪网 — https://vip.stock.finance.sina.com.cn/corp/view/vCB_AllBulletinDetail.php?id=12127723&amp;utm_source=openai</w:t>
      </w:r>
    </w:p>
    <w:p>
      <w:pPr>
        <w:spacing w:after="200"/>
      </w:pPr>
      <w:r>
        <w:rPr>
          <w:i/>
          <w:iCs/>
          <w:color w:val="595959"/>
          <w:sz w:val="18"/>
          <w:szCs w:val="18"/>
        </w:rPr>
        <w:t xml:space="preserve">对比情况如下表所示：
&lt;table id="e1"&gt;
&lt;tr&gt;
&lt;th&gt;公司名称&lt;/th&gt;
&lt;th — https://static.cninfo.com.cn/finalpage/2026-06-30/1225399429.PDF?utm_source=openai</w:t>
      </w:r>
    </w:p>
    <w:p>
      <w:pPr>
        <w:spacing w:after="200"/>
      </w:pPr>
      <w:r>
        <w:rPr>
          <w:i/>
          <w:iCs/>
          <w:color w:val="595959"/>
          <w:sz w:val="18"/>
          <w:szCs w:val="18"/>
        </w:rPr>
        <w:t xml:space="preserve">互动易云访谈 — https://irm.cninfo.com.cn/interview/interview/activityInfo?activityId=1164133851925958656&amp;utm_source=openai</w:t>
      </w:r>
    </w:p>
    <w:p>
      <w:pPr>
        <w:spacing w:after="200"/>
      </w:pPr>
      <w:r>
        <w:rPr>
          <w:i/>
          <w:iCs/>
          <w:color w:val="595959"/>
          <w:sz w:val="18"/>
          <w:szCs w:val="18"/>
        </w:rPr>
        <w:t xml:space="preserve">三河同飞制冷股份有限公司　　　　　　　　　　　　　　　　　　　　　　　　　2026 年度向特定对象发行股票募集说明书（修订稿） — https://static.cninfo.com.cn/finalpage/2026-06-30/1225399426.PDF?utm_source=openai</w:t>
      </w:r>
    </w:p>
    <w:p>
      <w:pPr>
        <w:spacing w:after="200"/>
      </w:pPr>
      <w:r>
        <w:rPr>
          <w:i/>
          <w:iCs/>
          <w:color w:val="595959"/>
          <w:sz w:val="18"/>
          <w:szCs w:val="18"/>
        </w:rPr>
        <w:t xml:space="preserve">三河同飞制冷股份有限公司　　　　　　　　　　　　　　2026 年度向特定对象发行股票募集说明书（注册稿） — https://static.cninfo.com.cn/finalpage/2026-07-06/1225410611.PDF?utm_source=openai</w:t>
      </w:r>
    </w:p>
    <w:p>
      <w:pPr>
        <w:spacing w:after="200"/>
      </w:pPr>
      <w:r>
        <w:rPr>
          <w:i/>
          <w:iCs/>
          <w:color w:val="595959"/>
          <w:sz w:val="18"/>
          <w:szCs w:val="18"/>
        </w:rPr>
        <w:t xml:space="preserve">趋势研判！2025年中国储能温控行业产业链、产业环境、市场规模及未来前景：新型储能装机规模日益增长，不断为行业发展注入动力[图]_智研咨询 — https://www.chyxx.com/industry/1208869.html?utm_source=openai</w:t>
      </w:r>
    </w:p>
    <w:p>
      <w:pPr>
        <w:spacing w:after="200"/>
      </w:pPr>
      <w:r>
        <w:rPr>
          <w:i/>
          <w:iCs/>
          <w:color w:val="595959"/>
          <w:sz w:val="18"/>
          <w:szCs w:val="18"/>
        </w:rPr>
        <w:t xml:space="preserve">同飞股份(300990)_公司公告_同飞股份：2026年半年度报告新浪财经_新浪网 — https://money.finance.sina.com.cn/corp/view/vCB_AllBulletinDetail.php?id=12556093&amp;stockid=300990</w:t>
      </w:r>
    </w:p>
    <w:p>
      <w:pPr>
        <w:spacing w:after="200"/>
      </w:pPr>
      <w:r>
        <w:rPr>
          <w:i/>
          <w:iCs/>
          <w:color w:val="595959"/>
          <w:sz w:val="18"/>
          <w:szCs w:val="18"/>
        </w:rPr>
        <w:t xml:space="preserve">同飞股份(300990)：传统业务基本面扎实 加速数据中心研发及产能建设__新浪财经_新浪网 — https://stock.finance.sina.com.cn/stock/go.php/vReport_Show/kind/search/rptid/841471260324/index.phtml</w:t>
      </w:r>
    </w:p>
    <w:p>
      <w:pPr>
        <w:spacing w:after="200"/>
      </w:pPr>
      <w:r>
        <w:rPr>
          <w:i/>
          <w:iCs/>
          <w:color w:val="595959"/>
          <w:sz w:val="18"/>
          <w:szCs w:val="18"/>
        </w:rPr>
        <w:t xml:space="preserve">同飞股份(300990)_公司公告_同飞股份：2025年年度报告新浪财经_新浪网 — https://money.finance.sina.com.cn/corp/view/vCB_AllBulletinDetail.php?id=12051995&amp;stockid=300990&amp;utm_source=openai</w:t>
      </w:r>
    </w:p>
    <w:p>
      <w:pPr>
        <w:spacing w:after="200"/>
      </w:pPr>
      <w:r>
        <w:rPr>
          <w:i/>
          <w:iCs/>
          <w:color w:val="595959"/>
          <w:sz w:val="18"/>
          <w:szCs w:val="18"/>
        </w:rPr>
        <w:t xml:space="preserve">同飞股份(300990) 盈利预测_F10_同花顺金融服务网 — https://basic.10jqka.com.cn/300990/worth.html?utm_source=openai</w:t>
      </w:r>
    </w:p>
    <w:p>
      <w:pPr>
        <w:spacing w:after="200"/>
      </w:pPr>
      <w:r>
        <w:rPr>
          <w:i/>
          <w:iCs/>
          <w:color w:val="595959"/>
          <w:sz w:val="18"/>
          <w:szCs w:val="18"/>
        </w:rPr>
        <w:t xml:space="preserve">同飞股份(300990) 盈利预测_F10_同花顺金融服务网 — https://basic.10jqka.com.cn/300990/worth.html</w:t>
      </w:r>
    </w:p>
    <w:p>
      <w:pPr>
        <w:spacing w:after="200"/>
      </w:pPr>
      <w:r>
        <w:rPr>
          <w:i/>
          <w:iCs/>
          <w:color w:val="595959"/>
          <w:sz w:val="18"/>
          <w:szCs w:val="18"/>
        </w:rPr>
        <w:t xml:space="preserve">同飞股份(300990)2026年半年报点评：储能温控持续增长 数据中心液冷打开成长空间__新浪财经_新浪网 — https://stock.finance.sina.com.cn/stock/go.php/vReport_Show/kind/search/rptid/842261061225/index.phtml?utm_source=openai</w:t>
      </w:r>
    </w:p>
    <w:p>
      <w:pPr>
        <w:spacing w:after="200"/>
      </w:pPr>
      <w:r>
        <w:rPr>
          <w:i/>
          <w:iCs/>
          <w:color w:val="595959"/>
          <w:sz w:val="18"/>
          <w:szCs w:val="18"/>
        </w:rPr>
        <w:t xml:space="preserve">同飞股份(300990.SZ) 股票行情_历史数据_主力资金 - 大波浪数据 — https://www.yyqyx.com/s/300990.SZ</w:t>
      </w:r>
    </w:p>
    <w:p>
      <w:pPr>
        <w:spacing w:after="200"/>
      </w:pPr>
      <w:r>
        <w:rPr>
          <w:i/>
          <w:iCs/>
          <w:color w:val="595959"/>
          <w:sz w:val="18"/>
          <w:szCs w:val="18"/>
        </w:rPr>
        <w:t xml:space="preserve">同飞股份(300990)股票历史数据:历史行情,价格,走势图表_英为财情Investing.com — https://cn.investing.com/equities/sanhe-tongfei-refrigeration-historical-data?utm_source=openai</w:t>
      </w:r>
    </w:p>
    <w:p>
      <w:pPr>
        <w:spacing w:after="200"/>
      </w:pPr>
      <w:r>
        <w:rPr>
          <w:i/>
          <w:iCs/>
          <w:color w:val="595959"/>
          <w:sz w:val="18"/>
          <w:szCs w:val="18"/>
        </w:rPr>
        <w:t xml:space="preserve">同飞股份(300990)市盈率|估值|基本面 - 理杏仁 — https://www.lixinger.com/equity/company/detail/sz/300990/300990/fundamental/valuation/pe-ttm</w:t>
      </w:r>
    </w:p>
    <w:p>
      <w:pPr>
        <w:spacing w:after="200"/>
      </w:pPr>
      <w:r>
        <w:rPr>
          <w:i/>
          <w:iCs/>
          <w:color w:val="595959"/>
          <w:sz w:val="18"/>
          <w:szCs w:val="18"/>
        </w:rPr>
        <w:t xml:space="preserve">同飞股份(300990)_公司公告_同飞股份：2026年半年度报告摘要新浪财经_新浪网 — https://vip.stock.finance.sina.com.cn/corp/view/vCB_AllBulletinDetail.php?id=12556094&amp;stockid=300990&amp;utm_source=openai</w:t>
      </w:r>
    </w:p>
    <w:p>
      <w:pPr>
        <w:spacing w:after="200"/>
      </w:pPr>
      <w:r>
        <w:rPr>
          <w:i/>
          <w:iCs/>
          <w:color w:val="595959"/>
          <w:sz w:val="18"/>
          <w:szCs w:val="18"/>
        </w:rPr>
        <w:t xml:space="preserve">同飞股份(300990)_公司公告_同飞股份：关于参加2026年河北辖区上市公司投资者网上集体接待日暨2026年半年报业绩说明会的公告新浪财经_新浪网 — https://money.finance.sina.com.cn/corp/view/vCB_AllBulletinDetail.php?id=12593904&amp;stockid=300990&amp;utm_source=openai</w:t>
      </w:r>
    </w:p>
    <w:p>
      <w:pPr>
        <w:spacing w:after="200"/>
      </w:pPr>
      <w:r>
        <w:rPr>
          <w:i/>
          <w:iCs/>
          <w:color w:val="595959"/>
          <w:sz w:val="18"/>
          <w:szCs w:val="18"/>
        </w:rPr>
        <w:t xml:space="preserve">同飞股份：销售管理研发费用合计同比增长3,141.46万元__财经头条__新浪财经 — https://cj.sina.com.cn/articles/view/1850649324/6e4eaaec02002j6d2?utm_source=openai</w:t>
      </w:r>
    </w:p>
    <w:p>
      <w:pPr>
        <w:spacing w:after="200"/>
      </w:pPr>
      <w:r>
        <w:rPr>
          <w:i/>
          <w:iCs/>
          <w:color w:val="595959"/>
          <w:sz w:val="18"/>
          <w:szCs w:val="18"/>
        </w:rPr>
        <w:t xml:space="preserve">同飞股份：向特定对象发行股票获证监会同意注册批复 _ 东方财富网 — https://wap.eastmoney.com/a/202608283858452650.html?utm_source=openai</w:t>
      </w:r>
    </w:p>
    <w:p>
      <w:pPr>
        <w:spacing w:after="200"/>
      </w:pPr>
      <w:r>
        <w:rPr>
          <w:i/>
          <w:iCs/>
          <w:color w:val="595959"/>
          <w:sz w:val="18"/>
          <w:szCs w:val="18"/>
        </w:rPr>
        <w:t xml:space="preserve">同飞股份(300990)_公司公告_同飞股份：投资者关系管理信息20260831新浪财经_新浪网 — https://money.finance.sina.com.cn/corp/view/vCB_AllBulletinDetail.php?id=12576545&amp;stockid=300990&amp;utm_source=openai</w:t>
      </w:r>
    </w:p>
    <w:p>
      <w:pPr>
        <w:spacing w:after="200"/>
      </w:pPr>
      <w:r>
        <w:rPr>
          <w:i/>
          <w:iCs/>
          <w:color w:val="595959"/>
          <w:sz w:val="18"/>
          <w:szCs w:val="18"/>
        </w:rPr>
        <w:t xml:space="preserve">同飞股份:关于“质量回报双提升”行动方案的进展公告 — https://www.cnfin.com/announ/detail/index.html?announ=lc&amp;code=300990&amp;dannoun=lcdetail&amp;id=841162039879&amp;utm_source=openai</w:t>
      </w:r>
    </w:p>
    <w:p>
      <w:pPr>
        <w:spacing w:after="200"/>
      </w:pPr>
      <w:r>
        <w:rPr>
          <w:i/>
          <w:iCs/>
          <w:color w:val="595959"/>
          <w:sz w:val="18"/>
          <w:szCs w:val="18"/>
        </w:rPr>
        <w:t xml:space="preserve">公司公告_同飞股份：关于董事会完成换届选举及聘任高级管理人员、证券事务代表和审计部负责人的公告新浪财经_新浪网 — https://vip.stock.finance.sina.com.cn/corp/view/vCB_AllBulletinDetail.php?id=12487133&amp;utm_source=openai</w:t>
      </w:r>
    </w:p>
    <w:p>
      <w:pPr>
        <w:spacing w:after="200"/>
      </w:pPr>
      <w:r>
        <w:rPr>
          <w:i/>
          <w:iCs/>
          <w:color w:val="595959"/>
          <w:sz w:val="18"/>
          <w:szCs w:val="18"/>
        </w:rPr>
        <w:t xml:space="preserve">https://static.cninfo.com.cn/finalpage/2025-09-16/1224664127.PDF?utm_source=openai — https://static.cninfo.com.cn/finalpage/2025-09-16/1224664127.PDF?utm_source=openai</w:t>
      </w:r>
    </w:p>
    <w:p>
      <w:pPr>
        <w:spacing w:after="200"/>
      </w:pPr>
      <w:r>
        <w:rPr>
          <w:i/>
          <w:iCs/>
          <w:color w:val="595959"/>
          <w:sz w:val="18"/>
          <w:szCs w:val="18"/>
        </w:rPr>
        <w:t xml:space="preserve">同飞股份(300990) 股价、新闻、报价和图表 - 富途牛牛 — https://www.futunn.com/stock/300990-SZ?chain_id=Name1K9-3FXPhg.1kq9ko0&amp;global_content=%7B%22promote_id%22%3A13766%2C%22sub_promote_id%22%3A24%2C%22f%22%3A%22www.futunn.com%2Fstock%2F688720-SH%2Fcompany%22%7D&amp;utm_source=openai</w:t>
      </w:r>
    </w:p>
    <w:p>
      <w:pPr>
        <w:spacing w:after="200"/>
      </w:pPr>
      <w:r>
        <w:rPr>
          <w:i/>
          <w:iCs/>
          <w:color w:val="595959"/>
          <w:sz w:val="18"/>
          <w:szCs w:val="18"/>
        </w:rPr>
        <w:t xml:space="preserve">同飞股份(300990)股票行情走势技术分析_未来预测_买卖操作建议_英为财情Investing.com — https://cn.investing.com/equities/sanhe-tongfei-refrigeration-technical</w:t>
      </w:r>
    </w:p>
    <w:p>
      <w:pPr>
        <w:spacing w:after="200"/>
      </w:pPr>
      <w:r>
        <w:rPr>
          <w:i/>
          <w:iCs/>
          <w:color w:val="595959"/>
          <w:sz w:val="18"/>
          <w:szCs w:val="18"/>
        </w:rPr>
        <w:t xml:space="preserve">同飞股份(300990)股票行情走势技术分析_未来预测_买卖操作建议_英为财情Investing.com — https://cn.investing.com/equities/sanhe-tongfei-refrigeration-technical?utm_source=openai</w:t>
      </w:r>
    </w:p>
    <w:p>
      <w:pPr>
        <w:spacing w:after="200"/>
      </w:pPr>
      <w:r>
        <w:rPr>
          <w:i/>
          <w:iCs/>
          <w:color w:val="595959"/>
          <w:sz w:val="18"/>
          <w:szCs w:val="18"/>
        </w:rPr>
        <w:t xml:space="preserve">同飞股份(300990.SZ) 股票行情_历史数据_主力资金 - 大波浪数据 — https://www.yyqyx.com/s/300990.SZ?utm_source=openai</w:t>
      </w:r>
    </w:p>
    <w:p>
      <w:pPr>
        <w:spacing w:after="200"/>
      </w:pPr>
      <w:r>
        <w:rPr>
          <w:i/>
          <w:iCs/>
          <w:color w:val="595959"/>
          <w:sz w:val="18"/>
          <w:szCs w:val="18"/>
        </w:rPr>
        <w:t xml:space="preserve">同飞股份(300990) 股东研究_F10_同花顺金融服务网 — https://basic.10jqka.com.cn/300990/holder.html?utm_source=openai</w:t>
      </w:r>
    </w:p>
    <w:p>
      <w:pPr>
        <w:spacing w:after="200"/>
      </w:pPr>
      <w:r>
        <w:rPr>
          <w:i/>
          <w:iCs/>
          <w:color w:val="595959"/>
          <w:sz w:val="18"/>
          <w:szCs w:val="18"/>
        </w:rPr>
        <w:t xml:space="preserve">同飞股份(300990) 最新动态_F10_同花顺金融服务网 — https://basic.10jqka.com.cn/176/300990/?utm_source=openai</w:t>
      </w:r>
    </w:p>
    <w:p>
      <w:pPr>
        <w:spacing w:after="200"/>
      </w:pPr>
      <w:r>
        <w:rPr>
          <w:i/>
          <w:iCs/>
          <w:color w:val="595959"/>
          <w:sz w:val="18"/>
          <w:szCs w:val="18"/>
        </w:rPr>
        <w:t xml:space="preserve">本报告由AI基于公开渠道信息自动检索、整理并生成，信息截至 截至2026年9月11日收盘；2026年9月14日为当前日期，但未取得更晚的完整收盘数据，因此不使用盘中或未经确认的数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2026-09-14T00:57:13.554Z</dcterms:created>
  <dcterms:modified xsi:type="dcterms:W3CDTF">2026-09-14T00:57:13.554Z</dcterms:modified>
</cp:coreProperties>
</file>

<file path=docProps/custom.xml><?xml version="1.0" encoding="utf-8"?>
<Properties xmlns="http://schemas.openxmlformats.org/officeDocument/2006/custom-properties" xmlns:vt="http://schemas.openxmlformats.org/officeDocument/2006/docPropsVTypes"/>
</file>