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山东潍坊润丰化工股份有限公司（润丰股份，301035） (301035)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行业：农药原药与制剂、全球作物保护产品服务</w:t>
      </w:r>
    </w:p>
    <w:p>
      <w:pPr>
        <w:jc w:val="center"/>
      </w:pPr>
      <w:r>
        <w:rPr>
          <w:color w:val="595959"/>
          <w:sz w:val="22"/>
          <w:szCs w:val="22"/>
        </w:rPr>
        <w:t xml:space="preserve">报告日期：2026年9月14日</w:t>
      </w:r>
    </w:p>
    <w:p>
      <w:pPr>
        <w:jc w:val="center"/>
      </w:pPr>
      <w:r>
        <w:rPr>
          <w:color w:val="595959"/>
          <w:sz w:val="20"/>
          <w:szCs w:val="20"/>
        </w:rPr>
        <w:t xml:space="preserve">行情数据截至2026年9月11日收盘；完整技术指标主要截至2026年9月8日，股东结构数据截至2026年6月30日。不同数据源在收盘价、最低价及52周高低点方面存在口径差异。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润丰股份2026年上半年实现营业收入74.42亿元，同比增长13.95%，但归母净利润5.02亿元，同比下降9.67%，经营活动现金流净额仅1.25亿元，同比下降86.00%；同期毛利率提升至约24.29%，汇率波动减少利润约2.34亿元。公司当前呈现收入和产品结构改善、但利润及现金流承压的阶段性特征，汇率因素是影响业绩兑现的重要变量。</w:t>
      </w:r>
    </w:p>
    <w:p>
      <w:pPr>
        <w:spacing w:after="160" w:line="300"/>
      </w:pPr>
      <w:r>
        <w:rPr>
          <w:sz w:val="22"/>
          <w:szCs w:val="22"/>
        </w:rPr>
        <w:t xml:space="preserve">公司全球化经营特征突出，2025年境外收入145.68亿元，占营业收入99.18%，在全球100多个国家设有超过130家下属公司。2025年Model C收入同比增长27.47%，占比提升至43.44%，毛利率为31.68%，高于Model A+Model B的15.98%；2026年上半年除草剂、杀虫剂和杀菌剂收入及毛利率均有所改善，显示产品结构、制剂及本地化服务能力对盈利修复具有支撑。</w:t>
      </w:r>
    </w:p>
    <w:p>
      <w:pPr>
        <w:spacing w:after="160" w:line="300"/>
      </w:pPr>
      <w:r>
        <w:rPr>
          <w:sz w:val="22"/>
          <w:szCs w:val="22"/>
        </w:rPr>
        <w:t xml:space="preserve">公司2025年营业收入146.88亿元，同比增长10.47%，归母净利润10.45亿元，同比增长132.07%，毛利率由2024年的19.79%升至22.80%。不过，材料成本占营业成本92.09%，且制剂所需原药除部分自产外主要依赖国内采购，盈利仍对原药及化工原材料价格、行业供需和产能过剩较为敏感。</w:t>
      </w:r>
    </w:p>
    <w:p>
      <w:pPr>
        <w:spacing w:after="160" w:line="300"/>
      </w:pPr>
      <w:r>
        <w:rPr>
          <w:sz w:val="22"/>
          <w:szCs w:val="22"/>
        </w:rPr>
        <w:t xml:space="preserve">截至2026年9月11日，公司股价约55.12元，动态或滚动市盈率约20至21倍，技术指标显示中短期趋势尚未完全转弱，但9月9日至11日连续回落、资金面偏谨慎。公司近期完成半年度现金分红，实际控制人完成约997.82万元增持；控股股东部分解除质押后，累计质押比例降至约24.88%，股东层面的阶段性风险有所缓解。</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301035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润丰股份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2021年7月28日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化学原料和化学制品制造业（C26）中的化学农药制造（C2631）</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植物保护产品，即农药原药及制剂的研发、生产和销售</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146.88亿元，同比增长10.47%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2025年境外收入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145.68亿元，占营业收入99.18%；国内收入1.21亿元，占比0.82%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2025年末生产基地及全球网络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在山东、宁夏以及阿根廷、西班牙、美国共拥有10处制造基地，在全球100多个国家设有超过130家下属公司</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除草剂：2025年收入100.13亿元，占营业收入68.17%，毛利率20.33%；产品包括草甘膦、2,4-D、莠去津、烯草酮、丙炔氟草胺、苯氧羧酸类除草剂等。</w:t>
      </w:r>
    </w:p>
    <w:p>
      <w:pPr>
        <w:pStyle w:val="ListParagraph"/>
        <w:numPr>
          <w:ilvl w:val="0"/>
          <w:numId w:val="2"/>
        </w:numPr>
        <w:spacing w:after="80" w:line="280"/>
      </w:pPr>
      <w:r>
        <w:rPr>
          <w:sz w:val="22"/>
          <w:szCs w:val="22"/>
        </w:rPr>
        <w:t xml:space="preserve">杀虫剂：2025年收入28.55亿元，占营业收入19.43%，毛利率28.57%。</w:t>
      </w:r>
    </w:p>
    <w:p>
      <w:pPr>
        <w:pStyle w:val="ListParagraph"/>
        <w:numPr>
          <w:ilvl w:val="0"/>
          <w:numId w:val="2"/>
        </w:numPr>
        <w:spacing w:after="80" w:line="280"/>
      </w:pPr>
      <w:r>
        <w:rPr>
          <w:sz w:val="22"/>
          <w:szCs w:val="22"/>
        </w:rPr>
        <w:t xml:space="preserve">杀菌剂：2025年收入15.75亿元，占营业收入10.72%，毛利率26.32%。</w:t>
      </w:r>
    </w:p>
    <w:p>
      <w:pPr>
        <w:pStyle w:val="ListParagraph"/>
        <w:numPr>
          <w:ilvl w:val="0"/>
          <w:numId w:val="2"/>
        </w:numPr>
        <w:spacing w:after="80" w:line="280"/>
      </w:pPr>
      <w:r>
        <w:rPr>
          <w:sz w:val="22"/>
          <w:szCs w:val="22"/>
        </w:rPr>
        <w:t xml:space="preserve">其他产品及业务：2025年收入约2.46亿元，占比约1.68%。</w:t>
      </w:r>
    </w:p>
    <w:p>
      <w:pPr>
        <w:pStyle w:val="ListParagraph"/>
        <w:numPr>
          <w:ilvl w:val="0"/>
          <w:numId w:val="2"/>
        </w:numPr>
        <w:spacing w:after="80" w:line="280"/>
      </w:pPr>
      <w:r>
        <w:rPr>
          <w:sz w:val="22"/>
          <w:szCs w:val="22"/>
        </w:rPr>
        <w:t xml:space="preserve">原药与制剂：公司同时覆盖农药原药和制剂业务，2025年报明确以制剂为主；部分原药自产，其余主要通过国内采购获得，再用于制剂生产或直接销售。</w:t>
      </w:r>
    </w:p>
    <w:p>
      <w:pPr>
        <w:pStyle w:val="ListParagraph"/>
        <w:numPr>
          <w:ilvl w:val="0"/>
          <w:numId w:val="2"/>
        </w:numPr>
        <w:spacing w:after="80" w:line="280"/>
      </w:pPr>
      <w:r>
        <w:rPr>
          <w:sz w:val="22"/>
          <w:szCs w:val="22"/>
        </w:rPr>
        <w:t xml:space="preserve">Model A+Model B：2025年收入83.07亿元，占比56.56%，毛利率15.98%；偏原药供应、海外登记、产品组合和渠道服务。</w:t>
      </w:r>
    </w:p>
    <w:p>
      <w:pPr>
        <w:pStyle w:val="ListParagraph"/>
        <w:numPr>
          <w:ilvl w:val="0"/>
          <w:numId w:val="2"/>
        </w:numPr>
        <w:spacing w:after="80" w:line="280"/>
      </w:pPr>
      <w:r>
        <w:rPr>
          <w:sz w:val="22"/>
          <w:szCs w:val="22"/>
        </w:rPr>
        <w:t xml:space="preserve">Model C：2025年收入63.81亿元，占比43.44%，毛利率31.68%；2025年收入同比增长27.47%，占比由2024年的37.65%升至43.44%，主要涉及产品登记、品牌、渠道、推广和本地市场服务。</w:t>
      </w:r>
    </w:p>
    <w:p>
      <w:pPr>
        <w:pStyle w:val="ListParagraph"/>
        <w:numPr>
          <w:ilvl w:val="0"/>
          <w:numId w:val="2"/>
        </w:numPr>
        <w:spacing w:after="80" w:line="280"/>
      </w:pPr>
      <w:r>
        <w:rPr>
          <w:sz w:val="22"/>
          <w:szCs w:val="22"/>
        </w:rPr>
        <w:t xml:space="preserve">海外业务：公司以出口和全球化经营为主，竞争力来自全球农药登记证和登记经验、海外本地化销售子公司和渠道网络，以及原药、制剂、品牌和终端推广的组合能力。</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润丰股份处于农药产业链的“中游原药制造＋下游全球制剂、登记、品牌和渠道服务”位置。传统Model A/B业务更偏中游制造和供应商模式，Model C业务则向下游品牌和终端市场延伸。</w:t>
      </w:r>
    </w:p>
    <w:p>
      <w:pPr>
        <w:pStyle w:val="ListParagraph"/>
        <w:numPr>
          <w:ilvl w:val="0"/>
          <w:numId w:val="2"/>
        </w:numPr>
        <w:spacing w:after="80" w:line="280"/>
      </w:pPr>
      <w:r>
        <w:rPr>
          <w:sz w:val="22"/>
          <w:szCs w:val="22"/>
        </w:rPr>
        <w:t xml:space="preserve">主要采购农药原药和中间体、基础化工原材料、氯、磷、溶剂、酸碱等化工投入品，以及农药助剂、包装材料、能源、环保处理和运输服务。</w:t>
      </w:r>
    </w:p>
    <w:p>
      <w:pPr>
        <w:pStyle w:val="ListParagraph"/>
        <w:numPr>
          <w:ilvl w:val="0"/>
          <w:numId w:val="2"/>
        </w:numPr>
        <w:spacing w:after="80" w:line="280"/>
      </w:pPr>
      <w:r>
        <w:rPr>
          <w:sz w:val="22"/>
          <w:szCs w:val="22"/>
        </w:rPr>
        <w:t xml:space="preserve">2025年主营业务成本中，材料成本104.42亿元，占营业成本92.09%；直接人工占2.29%，制造费用占4.28%，运输费用占1.34%。材料成本占比高，利润对原药和化工原材料价格较为敏感。</w:t>
      </w:r>
    </w:p>
    <w:p>
      <w:pPr>
        <w:pStyle w:val="ListParagraph"/>
        <w:numPr>
          <w:ilvl w:val="0"/>
          <w:numId w:val="2"/>
        </w:numPr>
        <w:spacing w:after="80" w:line="280"/>
      </w:pPr>
      <w:r>
        <w:rPr>
          <w:sz w:val="22"/>
          <w:szCs w:val="22"/>
        </w:rPr>
        <w:t xml:space="preserve">制剂生产所需原药除部分自产外，主要来自国内采购；国内原药价格受市场供需、上游化工原材料价格、环保和能耗政策等因素影响。</w:t>
      </w:r>
    </w:p>
    <w:p>
      <w:pPr>
        <w:pStyle w:val="ListParagraph"/>
        <w:numPr>
          <w:ilvl w:val="0"/>
          <w:numId w:val="2"/>
        </w:numPr>
        <w:spacing w:after="80" w:line="280"/>
      </w:pPr>
      <w:r>
        <w:rPr>
          <w:sz w:val="22"/>
          <w:szCs w:val="22"/>
        </w:rPr>
        <w:t xml:space="preserve">公司整体并未完全掌握上游定价权：大吨位、同质化农药原药更接近市场价格接受者；自产原药、差异化产品和具有技术工艺优势的品种可通过成本控制和稳定供应增强议价能力。</w:t>
      </w:r>
    </w:p>
    <w:p>
      <w:pPr>
        <w:pStyle w:val="ListParagraph"/>
        <w:numPr>
          <w:ilvl w:val="0"/>
          <w:numId w:val="2"/>
        </w:numPr>
        <w:spacing w:after="80" w:line="280"/>
      </w:pPr>
      <w:r>
        <w:rPr>
          <w:sz w:val="22"/>
          <w:szCs w:val="22"/>
        </w:rPr>
        <w:t xml:space="preserve">2025年实际生产量34.11万吨、销售量43.14万吨、期末库存量6.26万吨。销售量高于当期产量，说明公司除自产外还大量采购原药或制剂用于全球销售和渠道运营。</w:t>
      </w:r>
    </w:p>
    <w:p>
      <w:pPr>
        <w:pStyle w:val="ListParagraph"/>
        <w:numPr>
          <w:ilvl w:val="0"/>
          <w:numId w:val="2"/>
        </w:numPr>
        <w:spacing w:after="80" w:line="280"/>
      </w:pPr>
      <w:r>
        <w:rPr>
          <w:sz w:val="22"/>
          <w:szCs w:val="22"/>
        </w:rPr>
        <w:t xml:space="preserve">2025年末制剂设计产能319,670吨、产能利用率86.02%；原药设计产能80,900吨、产能利用率75.12%；在建制剂产能16,500吨、在建原药产能8,000吨。</w:t>
      </w:r>
    </w:p>
    <w:p>
      <w:pPr>
        <w:pStyle w:val="ListParagraph"/>
        <w:numPr>
          <w:ilvl w:val="0"/>
          <w:numId w:val="2"/>
        </w:numPr>
        <w:spacing w:after="80" w:line="280"/>
      </w:pPr>
      <w:r>
        <w:rPr>
          <w:sz w:val="22"/>
          <w:szCs w:val="22"/>
        </w:rPr>
        <w:t xml:space="preserve">主要下游客户包括海外农资经销商和进口商、当地农药生产及品牌合作伙伴、农业合作社和种植户，以及部分终端作物保护市场客户。</w:t>
      </w:r>
    </w:p>
    <w:p>
      <w:pPr>
        <w:pStyle w:val="ListParagraph"/>
        <w:numPr>
          <w:ilvl w:val="0"/>
          <w:numId w:val="2"/>
        </w:numPr>
        <w:spacing w:after="80" w:line="280"/>
      </w:pPr>
      <w:r>
        <w:rPr>
          <w:sz w:val="22"/>
          <w:szCs w:val="22"/>
        </w:rPr>
        <w:t xml:space="preserve">2025年度前五大客户销售额16.10亿元，占年度销售总额10.96%；单一最大客户占比4.09%，前五大客户中没有关联方。前五大客户名称在年报中以“客户一至客户五”匿名披露，无法据此判断具体客户名称和客户类型。</w:t>
      </w:r>
    </w:p>
    <w:p>
      <w:pPr>
        <w:pStyle w:val="ListParagraph"/>
        <w:numPr>
          <w:ilvl w:val="0"/>
          <w:numId w:val="2"/>
        </w:numPr>
        <w:spacing w:after="80" w:line="280"/>
      </w:pPr>
      <w:r>
        <w:rPr>
          <w:sz w:val="22"/>
          <w:szCs w:val="22"/>
        </w:rPr>
        <w:t xml:space="preserve">上述客户集中度数据为2025年度口径，研究纪要未提供其他年度数据用于交叉比较；具体以最新年报为准。</w:t>
      </w:r>
    </w:p>
    <w:p>
      <w:pPr>
        <w:pStyle w:val="ListParagraph"/>
        <w:numPr>
          <w:ilvl w:val="0"/>
          <w:numId w:val="2"/>
        </w:numPr>
        <w:spacing w:after="80" w:line="280"/>
      </w:pPr>
      <w:r>
        <w:rPr>
          <w:sz w:val="22"/>
          <w:szCs w:val="22"/>
        </w:rPr>
        <w:t xml:space="preserve">公司下游并非主要面对少数大型整车厂，而是面对多个国家的渠道商和终端市场。议价能力主要取决于产品差异化、当地登记证、稳定供应能力、完整作物解决方案，以及本地品牌和渠道网络。</w:t>
      </w:r>
    </w:p>
    <w:p>
      <w:pPr>
        <w:pStyle w:val="ListParagraph"/>
        <w:numPr>
          <w:ilvl w:val="0"/>
          <w:numId w:val="2"/>
        </w:numPr>
        <w:spacing w:after="80" w:line="280"/>
      </w:pPr>
      <w:r>
        <w:rPr>
          <w:sz w:val="22"/>
          <w:szCs w:val="22"/>
        </w:rPr>
        <w:t xml:space="preserve">海外收入占比超过99%，经营还受到当地渠道库存、农产品价格、经销商资金状况、海外农药登记政策、贸易政策、区域信用风险、汇率和当地农业景气度影响。</w:t>
      </w:r>
    </w:p>
    <w:p>
      <w:pPr>
        <w:pStyle w:val="ListParagraph"/>
        <w:numPr>
          <w:ilvl w:val="0"/>
          <w:numId w:val="2"/>
        </w:numPr>
        <w:spacing w:after="80" w:line="280"/>
      </w:pPr>
      <w:r>
        <w:rPr>
          <w:sz w:val="22"/>
          <w:szCs w:val="22"/>
        </w:rPr>
        <w:t xml:space="preserve">公司此前规划的部分项目因农药行业产能过剩、产品价格下行和市场需求变化而延期；截至2025年报披露，已决定终止年产9000吨克菌丹项目、年产38800吨除草剂项目一期中的30000吨/年草甘膦可溶粒剂项目，以及年产25000吨草甘膦连续化技改项目，并将剩余募集资金转用于农药产品全球登记项目。</w:t>
      </w:r>
    </w:p>
    <w:p>
      <w:pPr>
        <w:pStyle w:val="ListParagraph"/>
        <w:numPr>
          <w:ilvl w:val="0"/>
          <w:numId w:val="2"/>
        </w:numPr>
        <w:spacing w:after="80" w:line="280"/>
      </w:pPr>
      <w:r>
        <w:rPr>
          <w:sz w:val="22"/>
          <w:szCs w:val="22"/>
        </w:rPr>
        <w:t xml:space="preserve">截至2025年12月31日，应收账款51.96亿元，占2025年营业收入约35.37%，约为归母净利润10.45亿元的4.97倍；应付账款13.78亿元，应付票据39.68亿元，二者合计约53.46亿元，预付款项1.01亿元。应收账款对外贸业务和海外渠道形成明显营运资金占用；应付账款及应付票据高于预付款项，表明公司在供应商信用和票据结算方面具有一定资金占用能力。但上述应收账款占收入比例为期末余额与全年收入的静态计算，不等同于全年平均占比或应收账款周转天数；研究纪要未提供应收账款周转天数、供应商付款周期及年度平均余额，不能仅凭期末余额完整判断议价能力。</w:t>
      </w:r>
    </w:p>
    <w:p>
      <w:pPr>
        <w:pStyle w:val="ListParagraph"/>
        <w:numPr>
          <w:ilvl w:val="0"/>
          <w:numId w:val="2"/>
        </w:numPr>
        <w:spacing w:after="80" w:line="280"/>
      </w:pPr>
      <w:r>
        <w:rPr>
          <w:sz w:val="22"/>
          <w:szCs w:val="22"/>
        </w:rPr>
        <w:t xml:space="preserve">2025年度前五大客户合计占比10.96%，单一最大客户占比4.09%，客户集中度较低，有利于分散单一客户风险；但公司境外收入占比99.18%，对海外渠道、登记法规、汇率和区域信用环境依赖较高。前五大客户数据来源于研究纪要所引2025年年报相关披露，客户名称匿名，且未提供其他年度数据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约18.97%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约8.64%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上市初期海外农药需求和产品价格仍处于相对较好阶段，利润率高于长期正常水平。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约10.29%</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受农药价格上涨、海外需求较旺和部分产品供需偏紧影响，盈利能力达到阶段高位。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约21.19%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约7.40%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农药价格回落、行业库存去化，销售费用和汇率等因素压缩净利率，但规模和出口优势仍支撑毛利率。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19.79%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行业进入明显下行周期，原药价格下跌、产能过剩和同质化竞争加剧，传统Model A/B供应商模式利润率承压。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22.80%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约8.01%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海外需求恢复、部分农药价格企稳，Model C收入占比及毛利率提升，同时杀虫剂和杀菌剂收入增长，推动盈利能力修复。</w:t>
            </w:r>
          </w:p>
        </w:tc>
      </w:tr>
    </w:tbl>
    <w:p>
      <w:pPr>
        <w:spacing w:before="200"/>
      </w:pPr>
    </w:p>
    <w:p>
      <w:pPr>
        <w:spacing w:after="160" w:line="300"/>
      </w:pPr>
      <w:r>
        <w:rPr>
          <w:sz w:val="22"/>
          <w:szCs w:val="22"/>
        </w:rPr>
        <w:t xml:space="preserve">公司位于农药产业链中游制造向下游全球品牌与服务延伸的位置：大吨位、同质化原药业务偏中游，易受原药价格和产能过剩影响；Model C、海外登记、品牌、渠道和终端服务更接近下游高附加值环节。未来利润改善主要取决于差异化原药和先进工艺产品占比提升、自产原药比例和成本竞争力提高、Model C继续扩张、杀虫剂及杀菌剂和高端制剂占比提升，以及海外登记和本地渠道积累，而非单纯扩大大吨位原药产能。</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74.4163亿元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同比增长13.95%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归属于上市公司股东的净利润5.0186亿元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同比下降9.67%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约42.50亿元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同比增长10.56%，环比增长33.19%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归属于上市公司股东的净利润约3.37亿元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同比增长12.61%，环比增长103.59%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146.8835亿元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同比增长10.47%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归属于上市公司股东的净利润10.4452亿元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同比增长132.07%</w:t>
            </w:r>
          </w:p>
        </w:tc>
      </w:tr>
    </w:tbl>
    <w:p>
      <w:pPr>
        <w:spacing w:after="200"/>
      </w:pPr>
      <w:r>
        <w:rPr>
          <w:i/>
          <w:iCs/>
          <w:color w:val="595959"/>
          <w:sz w:val="18"/>
          <w:szCs w:val="18"/>
        </w:rPr>
        <w:t xml:space="preserve">截至2026年6月30日，最新一期定期报告为《2026年半年度报告》，公告日期为2026年8月22日。2026年上半年扣除非经常性损益后的净利润为4.9371亿元，同比下降10.07%；基本每股收益为1.38元，同比下降10.39%。同期经营活动产生的现金流量净额为1.2509亿元，同比下降86.00%，加权平均净资产收益率为6.53%，较上年同期下降1.47个百分点。报告期末总资产为188.6945亿元，归属于上市公司股东的净资产为76.7864亿元。2026年上半年毛利率约24.29%，同比提升约2.87个百分点。</w:t>
      </w:r>
    </w:p>
    <w:p>
      <w:pPr>
        <w:spacing w:after="160" w:line="300"/>
      </w:pPr>
      <w:r>
        <w:rPr>
          <w:sz w:val="22"/>
          <w:szCs w:val="22"/>
        </w:rPr>
        <w:t xml:space="preserve">公司2026年上半年呈现收入增长、利润承压的阶段性特征，汇兑损失对利润形成明显压制。二季度收入和归母净利润环比明显改善，产品结构优化及Model C业务占比提升推动毛利率改善。主要产品方面，除草剂收入约52.94亿元，同比增长12.53%，毛利率21.30%；杀虫剂收入约12.04亿元，同比增长13.36%，毛利率31.40%；杀菌剂收入约8.00亿元，同比增长18.62%，毛利率29.65%。上述毛利率改善原因属于券商分析，不是公司审计口径的业绩结论。</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F10汇总显示，近6个月共有12家机构对公司2026年度业绩作出预测。2027—2028年营业收入的市场一致预期未在公开汇总页面完整展示，相关数据如采用国海证券预测，应视为单一机构口径。机构盈利预测并非公司正式业绩承诺，且不同机构对汇率、海外市场、产品价格和利润率的假设存在差异。</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机构预测均值约164.74亿元；国海证券预测174亿元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机构预测均值约12.86亿元，区间10.82亿至14.45亿元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机构预测均值3.52元，区间2.97至3.96元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公开汇总页面未完整展示；国海证券预测206亿元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机构预测均值约16.07亿元，区间12.93亿至17.89亿元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机构预测均值4.41元，区间3.55至4.91元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公开汇总页面未完整展示；国海证券预测243亿元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机构预测均值约19.55亿元，区间15.44亿至22.98亿元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机构预测均值5.36元，区间4.24至6.30元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预测2026—2028年归母净利润分别为10.82亿、12.93亿、15.44亿元，对应EPS分别为2.97元、3.55元、4.24元。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预测2026—2028年归母净利润分别为11.41亿、14.87亿、17.06亿元。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预测2026—2028年归母净利润分别为11.62亿、14.48亿、16.67亿元；未披露目标价。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预测2026—2028年EPS分别为3.74元、4.50元、5.70元，对应PE约14倍、12倍、9倍。</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预测2026—2028年EPS分别为3.83元、4.71元、5.86元；目标价约68.94元。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目标价不超过70元，预测2026年归母净利润14.45亿元。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预测2026—2028年营业收入分别为174亿、206亿、243亿元，归母净利润分别为14.33亿、17.64亿、21.84亿元。</w:t>
            </w:r>
          </w:p>
        </w:tc>
      </w:tr>
    </w:tbl>
    <w:p>
      <w:pPr>
        <w:spacing w:before="200"/>
      </w:pPr>
    </w:p>
    <w:p>
      <w:pPr>
        <w:spacing w:after="160" w:line="300"/>
      </w:pPr>
      <w:r>
        <w:rPr>
          <w:sz w:val="22"/>
          <w:szCs w:val="22"/>
        </w:rPr>
        <w:t xml:space="preserve">截至2026年9月11日，公司收盘价约55.12元，总股本增至约3.6451亿股，按收盘价计算静态总市值约200.9亿元。截至2026年9月10日，理杏仁显示PE-TTM约20.43倍、PB约2.71倍、市值约202.37亿元，PE-TTM历史分位约30.72%；同花顺显示静态市盈率约19.38倍。按同花顺机构盈利预测均值测算，2026—2028年动态PE分别约15.7倍、12.5倍和10.3倍；采用光大证券预测时，2026年EPS约3.19元、对应PE约17.3倍；采用国海证券预测时，2026年EPS约3.92元、对应PE约14.1倍。机构统计显示，2026年预测目标价区间为70.00元至105.82元，平均目标价约94.21元，但该平均值包含不同日期、假设和机构的研报结果，不宜简单理解为统一目标价。公司当前PE-TTM约20倍、PB约2.7倍，整体估值已不属于低估值传统化工股水平；若机构盈利预测兑现，远期估值可能随利润增长而下降。估值数据来自第三方行情及估值平台，主要日期为2026年9月10日至9月11日，不同平台可能存在更新时间和计算口径差异。机构盈利预测还面临汇率波动、海外市场扩张、产品价格及毛利率变化等不确定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控股股东部分股份解除质押，质押比例明显下降</w:t>
      </w:r>
    </w:p>
    <w:p>
      <w:pPr>
        <w:spacing w:after="160" w:line="300"/>
      </w:pPr>
      <w:r>
        <w:rPr>
          <w:sz w:val="22"/>
          <w:szCs w:val="22"/>
        </w:rPr>
        <w:t xml:space="preserve">2026年9月10日，公司披露《关于控股股东部分股份解除质押的公告》。控股股东山东润源投资有限公司于2026年9月9日解除质押股份合计2,342.60万股，其中包括2024年9月12日质押的763.10万股及2025年1月7日质押的1,579.50万股。本次解除质押股份占润源投资所持股份的15.68%，占公司总股本的6.43%。解除后，润源投资持有公司股份14,938.46万股，累计质押股份由6,059.105万股下降至3,716.505万股，质押比例由约40.56%下降至24.88%，占公司总股本比例由16.62%下降至10.20%；公司控股股东及一致行动人合计质押比例降至15.06%。本次事项不改变控股股东及实际控制人控制权，也不代表控股股东减持，公告未披露股份所有权发生转移。短期有助于缓解市场对股权质押风险及潜在平仓风险的担忧。来源：https://money.finance.sina.com.cn/corp/view/vCB_AllBulletinDetail.php?id=12593871&amp;stockid=301035</w:t>
      </w:r>
    </w:p>
    <w:p>
      <w:pPr>
        <w:pStyle w:val="Heading2"/>
        <w:spacing w:after="120" w:before="240"/>
      </w:pPr>
      <w:r>
        <w:rPr>
          <w:b/>
          <w:bCs/>
          <w:color w:val="2E74B5"/>
          <w:sz w:val="24"/>
          <w:szCs w:val="24"/>
        </w:rPr>
        <w:t xml:space="preserve">4.2 控股股东8月底新增股份质押，随后部分解除</w:t>
      </w:r>
    </w:p>
    <w:p>
      <w:pPr>
        <w:spacing w:after="160" w:line="300"/>
      </w:pPr>
      <w:r>
        <w:rPr>
          <w:sz w:val="22"/>
          <w:szCs w:val="22"/>
        </w:rPr>
        <w:t xml:space="preserve">2026年8月28日，公司披露《关于控股股东部分股份质押的公告》。山东润源投资有限公司于2026年8月27日向华能贵诚信托有限公司质押股份1,703.00万股，质押期限为2026年8月27日至2027年9月1日，公告披露用途为补充流动资金。其中，946.00万股占公司总股本2.60%、占润源投资所持股份6.33%；757.00万股占公司总股本2.08%、占润源投资所持股份5.07%；合计占公司总股本4.67%、占润源投资所持股份11.40%。质押完成后，润源投资累计质押股份达到6,059.105万股，占其所持股份40.56%，占公司总股本16.62%。截至2026年9月10日，随着2,342.60万股解除质押，质押余额已下降至3,716.505万股。近期股东动态呈现“8月底新增质押、9月初较大规模解除质押”的变化，不能简单理解为控股股东持续加杠杆。来源：https://money.finance.sina.com.cn/corp/view/vCB_AllBulletinDetail.php?id=12568629&amp;stockid=301035&amp;utm_source=openai</w:t>
      </w:r>
    </w:p>
    <w:p>
      <w:pPr>
        <w:pStyle w:val="Heading2"/>
        <w:spacing w:after="120" w:before="240"/>
      </w:pPr>
      <w:r>
        <w:rPr>
          <w:b/>
          <w:bCs/>
          <w:color w:val="2E74B5"/>
          <w:sz w:val="24"/>
          <w:szCs w:val="24"/>
        </w:rPr>
        <w:t xml:space="preserve">4.3 实际控制人、董事长增持计划实施完毕</w:t>
      </w:r>
    </w:p>
    <w:p>
      <w:pPr>
        <w:spacing w:after="160" w:line="300"/>
      </w:pPr>
      <w:r>
        <w:rPr>
          <w:sz w:val="22"/>
          <w:szCs w:val="22"/>
        </w:rPr>
        <w:t xml:space="preserve">2026年7月2日，公司披露《关于实际控制人、董事长增持公司股份计划实施完毕暨增持结果的公告》。实际控制人、董事长王文才于2026年6月17日至2026年6月30日期间，通过集中竞价方式累计增持公司股份20.81万股，占公司总股本约0.06%，增持金额为997.82万元，不含交易费用。此前增持计划金额区间为500万元至1,000万元，本次增持已达到计划上限附近并实施完毕。增持后，王文才本人直接持股79.364万股；其与山东润源投资有限公司、KONKIA INC、山东润农投资有限公司合计持股比例由67.64%提升至67.70%。本次增持不会导致公司控股股东或实际控制人发生变化，也不会影响公司上市地位。该事项体现管理层对公司长期价值的支持，但增持规模相对于公司总股本较小，更多是信心和稳定预期信号。来源：https://money.finance.sina.com.cn/corp/view/vCB_AllBulletinDetail.php?id=12428631&amp;stockid=301035&amp;utm_source=openai</w:t>
      </w:r>
    </w:p>
    <w:p>
      <w:pPr>
        <w:pStyle w:val="Heading2"/>
        <w:spacing w:after="120" w:before="240"/>
      </w:pPr>
      <w:r>
        <w:rPr>
          <w:b/>
          <w:bCs/>
          <w:color w:val="2E74B5"/>
          <w:sz w:val="24"/>
          <w:szCs w:val="24"/>
        </w:rPr>
        <w:t xml:space="preserve">4.4 2026年半年度报告：收入增长、利润及经营现金流下降</w:t>
      </w:r>
    </w:p>
    <w:p>
      <w:pPr>
        <w:spacing w:after="160" w:line="300"/>
      </w:pPr>
      <w:r>
        <w:rPr>
          <w:sz w:val="22"/>
          <w:szCs w:val="22"/>
        </w:rPr>
        <w:t xml:space="preserve">2026年8月22日，公司披露2026年半年度报告及摘要。2026年上半年，公司实现营业收入74.42亿元，同比增长13.95%；归属于上市公司股东的净利润5.02亿元，同比下降9.67%；扣非归母净利润4.94亿元，同比下降10.07%；经营活动产生的现金流量净额1.25亿元，同比下降86.00%。公司表示，收入增长主要来自全球市场拓展、北美及欧盟市场增长、Model C业务占比提升等因素；利润端受到人民币升值及汇率波动影响。2026年上半年公司因汇率波动减少利润约2.34亿元，而2025年同期汇率波动曾增加利润约2.22亿元。综合来看，半年报呈现收入和毛利率改善、归母净利润受汇兑拖累的特征。来源：https://disc.static.szse.cn/download/disc/disk03/finalpage/2026-08-22/d7c87d7c-f52e-4fc4-802c-d7e6897f6f7a.PDF；https://money.finance.sina.com.cn/corp/view/vCB_AllBulletinDetail.php?id=12515778&amp;stockid=301035</w:t>
      </w:r>
    </w:p>
    <w:p>
      <w:pPr>
        <w:pStyle w:val="Heading2"/>
        <w:spacing w:after="120" w:before="240"/>
      </w:pPr>
      <w:r>
        <w:rPr>
          <w:b/>
          <w:bCs/>
          <w:color w:val="2E74B5"/>
          <w:sz w:val="24"/>
          <w:szCs w:val="24"/>
        </w:rPr>
        <w:t xml:space="preserve">4.5 2026年半年度现金分红方案落地</w:t>
      </w:r>
    </w:p>
    <w:p>
      <w:pPr>
        <w:spacing w:after="160" w:line="300"/>
      </w:pPr>
      <w:r>
        <w:rPr>
          <w:sz w:val="22"/>
          <w:szCs w:val="22"/>
        </w:rPr>
        <w:t xml:space="preserve">公司董事会审议通过半年度利润分配方案，以剔除回购专用证券账户股份后的股本为基数，每10股派发现金红利5.50元，不送红股、不进行资本公积金转增。2026年8月27日，公司披露权益分派实施公告；以362,848,600股为分红基数，预计现金分红总额为1.9957亿元，占2026年上半年归母净利润的39.77%。股权登记日为2026年9月2日，除权除息日及派息日为2026年9月3日。中期分红对股东回报具有积极作用，但不能消除汇率、应收账款、存货及海外市场信用风险。来源：https://money.finance.sina.com.cn/corp/view/vCB_AllBulletinDetail.php?id=12552229&amp;stockid=301035&amp;utm_source=openai</w:t>
      </w:r>
    </w:p>
    <w:p>
      <w:pPr>
        <w:pStyle w:val="Heading2"/>
        <w:spacing w:after="120" w:before="240"/>
      </w:pPr>
      <w:r>
        <w:rPr>
          <w:b/>
          <w:bCs/>
          <w:color w:val="2E74B5"/>
          <w:sz w:val="24"/>
          <w:szCs w:val="24"/>
        </w:rPr>
        <w:t xml:space="preserve">4.6 机构调研披露行业出口数据及公司经营展望</w:t>
      </w:r>
    </w:p>
    <w:p>
      <w:pPr>
        <w:spacing w:after="160" w:line="300"/>
      </w:pPr>
      <w:r>
        <w:rPr>
          <w:sz w:val="22"/>
          <w:szCs w:val="22"/>
        </w:rPr>
        <w:t xml:space="preserve">2026年8月24日，公司接待多家机构投资者调研。公司表示，2026年1—6月中国海关编码3808项下作物保护品出口数量同比增加15.66%，出口金额同比增加18.75%，月度平均出口单价由2026年1月的2.86美元/公斤上升至6月的3.25美元/公斤。公司同时表示，出口退税政策调整以及农药登记管理相关政策变化，有利于制剂产品出口和行业结构升级；相关表述属于公司在投资者关系活动中的判断，不等同于监管部门对公司业绩的承诺。公司预计2026年全年归母净利润、毛利率、EBITDA及营业收入等核心指标稳健向好，并将继续推进Model C业务、欧盟及北美市场拓展、杀虫剂和杀菌剂业务，以及重要较新活性组分的全球登记和商业化。上述内容属于经营展望和管理层判断，不属于正式业绩预告，也不构成盈利承诺。来源：https://money.finance.sina.com.cn/corp/view/vCB_AllBulletinDetail.php?id=12523640&amp;stockid=301035&amp;utm_source=openai</w:t>
      </w:r>
    </w:p>
    <w:p>
      <w:pPr>
        <w:pStyle w:val="Heading2"/>
        <w:spacing w:after="120" w:before="240"/>
      </w:pPr>
      <w:r>
        <w:rPr>
          <w:b/>
          <w:bCs/>
          <w:color w:val="2E74B5"/>
          <w:sz w:val="24"/>
          <w:szCs w:val="24"/>
        </w:rPr>
        <w:t xml:space="preserve">4.7 近期未发现新增回购方案或回购实施进展公告</w:t>
      </w:r>
    </w:p>
    <w:p>
      <w:pPr>
        <w:spacing w:after="160" w:line="300"/>
      </w:pPr>
      <w:r>
        <w:rPr>
          <w:sz w:val="22"/>
          <w:szCs w:val="22"/>
        </w:rPr>
        <w:t xml:space="preserve">截至2026年9月14日，在本次针对2026年8月至9月、业绩预告、回购、股东动态、并购及监管等关键词的定向检索中，未发现润丰股份在2026年8月至9月新披露股份回购方案或新的回购实施进展公告。公司回购专用证券账户此前持有1,656,666股，该部分股份在半年度分红时不参与利润分配。该结论仅表示本次检索范围内未发现新增回购公告，不排除公告存在尚未被搜索引擎收录的情况。来源：https://money.finance.sina.com.cn/corp/view/vCB_AllBulletinDetail.php?id=12552229&amp;stockid=301035&amp;utm_source=openai</w:t>
      </w:r>
    </w:p>
    <w:p>
      <w:pPr>
        <w:pStyle w:val="Heading2"/>
        <w:spacing w:after="120" w:before="240"/>
      </w:pPr>
      <w:r>
        <w:rPr>
          <w:b/>
          <w:bCs/>
          <w:color w:val="2E74B5"/>
          <w:sz w:val="24"/>
          <w:szCs w:val="24"/>
        </w:rPr>
        <w:t xml:space="preserve">4.8 近期未检索到控股股东或实际控制人新的减持公告</w:t>
      </w:r>
    </w:p>
    <w:p>
      <w:pPr>
        <w:spacing w:after="160" w:line="300"/>
      </w:pPr>
      <w:r>
        <w:rPr>
          <w:sz w:val="22"/>
          <w:szCs w:val="22"/>
        </w:rPr>
        <w:t xml:space="preserve">截至2026年9月14日，未检索到控股股东或实际控制人在2026年8月至9月披露新的减持计划或减持实施公告。近期股东层面的主要变化为实际控制人增持以及控股股东股份质押、解除质押。</w:t>
      </w:r>
    </w:p>
    <w:p>
      <w:pPr>
        <w:pStyle w:val="Heading2"/>
        <w:spacing w:after="120" w:before="240"/>
      </w:pPr>
      <w:r>
        <w:rPr>
          <w:b/>
          <w:bCs/>
          <w:color w:val="2E74B5"/>
          <w:sz w:val="24"/>
          <w:szCs w:val="24"/>
        </w:rPr>
        <w:t xml:space="preserve">4.9 近期未检索到重大并购重组公告</w:t>
      </w:r>
    </w:p>
    <w:p>
      <w:pPr>
        <w:spacing w:after="160" w:line="300"/>
      </w:pPr>
      <w:r>
        <w:rPr>
          <w:sz w:val="22"/>
          <w:szCs w:val="22"/>
        </w:rPr>
        <w:t xml:space="preserve">截至2026年9月14日，未检索到公司在2026年8月至9月披露重大资产重组、发行股份购买资产或重大并购公告。半年报披露公司继续推进全球登记、海外市场拓展和原药合成项目建设，但上述事项属于经营和产能布局，不等同于已经签署或完成重大并购交易。来源：https://money.finance.sina.com.cn/corp/view/vCB_AllBulletinDetail.php?id=12515778&amp;stockid=301035</w:t>
      </w:r>
    </w:p>
    <w:p>
      <w:pPr>
        <w:pStyle w:val="Heading2"/>
        <w:spacing w:after="120" w:before="240"/>
      </w:pPr>
      <w:r>
        <w:rPr>
          <w:b/>
          <w:bCs/>
          <w:color w:val="2E74B5"/>
          <w:sz w:val="24"/>
          <w:szCs w:val="24"/>
        </w:rPr>
        <w:t xml:space="preserve">4.10 近期未检索到重大监管处罚或问询公告</w:t>
      </w:r>
    </w:p>
    <w:p>
      <w:pPr>
        <w:spacing w:after="160" w:line="300"/>
      </w:pPr>
      <w:r>
        <w:rPr>
          <w:sz w:val="22"/>
          <w:szCs w:val="22"/>
        </w:rPr>
        <w:t xml:space="preserve">截至2026年9月14日，未检索到2026年8月至9月公司收到监管处罚、立案调查、交易所问询或重大监管措施的公告。公司8月24日投资者关系活动记录中提及出口退税政策调整及农药登记管理政策变化，相关影响方向由公司判断，后续仍需关注正式政策文本及其对制剂出口、海外登记成本和产品准入的实际影响。来源：https://money.finance.sina.com.cn/corp/view/vCB_AllBulletinDetail.php?id=12523640&amp;stockid=301035</w:t>
      </w:r>
    </w:p>
    <w:p>
      <w:pPr>
        <w:pStyle w:val="Heading2"/>
        <w:spacing w:after="120" w:before="240"/>
      </w:pPr>
      <w:r>
        <w:rPr>
          <w:b/>
          <w:bCs/>
          <w:color w:val="2E74B5"/>
          <w:sz w:val="24"/>
          <w:szCs w:val="24"/>
        </w:rPr>
        <w:t xml:space="preserve">4.11 近期公告综合判断</w:t>
      </w:r>
    </w:p>
    <w:p>
      <w:pPr>
        <w:spacing w:after="160" w:line="300"/>
      </w:pPr>
      <w:r>
        <w:rPr>
          <w:sz w:val="22"/>
          <w:szCs w:val="22"/>
        </w:rPr>
        <w:t xml:space="preserve">截至2026年9月14日，润丰股份近期公告主线包括：2026年上半年收入保持增长，但归母净利润同比下降，汇率波动是利润承压的重要因素；实际控制人完成约997.82万元增持，释放一定积极信号；控股股东8月新增质押1,703万股，9月解除质押2,342.60万股，最新质押比例较8月底明显下降；公司实施每10股派5.50元的半年度现金分红，预计分红总额约1.996亿元。当前未发现近期重大并购、正式回购新方案、控股股东新减持计划或重大监管处罚公告。后续需关注人民币汇率变化、海外市场应收账款和存货质量、控股股东质押余额变化、北美及欧盟业务增长，以及公司全年业绩能否兑现“核心经营指标稳健向好”的管理层展望。</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润丰股份（301035）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2026年9月11日收盘价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约55.12~55.13元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约-0.70%~-0.72%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约54.83~55.10元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当日最高价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55.99元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约54.09~54.28元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约193万~206.27万股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约0.57%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约3.645亿股/约201亿元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动态或滚动市盈率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约20~21倍；不同平台口径存在差异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大波浪前复权口径：65.96元（2026年4月28日）~44.10元（2026年6月29日）；Investing口径：67.69元~44.54元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MA5（截至2026年9月8日）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56.40元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9月8日收盘价57.70元高于MA5；但截至9月11日均线大概率已较9月8日下移，未取得可交叉验证的最新完整指标。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MA10（截至2026年9月8日）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56.87元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9月8日收盘价高于MA10；9月9日至11日连续回落，短线动能有所降温。</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MA20（截至2026年9月8日）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54.90元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9月8日收盘价高于MA20约5.10%；该位置可作为短期支撑参考，但截至9月11日未取得实时完整均线数据。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MACD（截至2026年9月8日）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1.30；DEA 1.18；MACD柱0.24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MACD位于零轴上方，DIF高于DEA，显示中短期趋势尚未完全转空；指标具有滞后性。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RSI（截至2026年9月8日）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 66.0；RSI12 62.8；RSI24 59.4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短线仍处于偏强区间，RSI6接近70附近的传统偏强区间；随后连续回落显示动能降温。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布林带（截至2026年9月8日）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上轨59.20元；中轨54.47元；下轨49.74元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9月8日收盘价接近上轨但未突破；上轨可作为短期压力参考，中轨及下轨可作为下方支撑参考。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近期价格形态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2026年9月9日至11日分别收跌约1.23%、2.58%、0.72%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9月初冲高后连续回撤，短线由上升后的高位震荡转向偏弱整理。</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截至9月11日的另一数据源显示近5个交易日净流出约2912万元；大波浪截至9月8日显示近10个交易日累计净流入约233万元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不同第三方算法统计口径不一致；共同可观察到9月8日反弹后资金未持续转为连续净流入，9月9日至11日回落期间资金面偏谨慎。</w:t>
            </w:r>
          </w:p>
        </w:tc>
      </w:tr>
    </w:tbl>
    <w:p>
      <w:pPr>
        <w:spacing w:before="200"/>
      </w:pPr>
    </w:p>
    <w:p>
      <w:pPr>
        <w:spacing w:after="160" w:line="300"/>
      </w:pPr>
      <w:r>
        <w:rPr>
          <w:sz w:val="22"/>
          <w:szCs w:val="22"/>
        </w:rPr>
        <w:t xml:space="preserve">截至2026年9月11日，润丰股份收盘约55.12~55.13元，较9月8日收盘价57.70元有所回落。技术指标截至9月8日仍显示股价位于MA5、MA10和MA20之上，MACD处于零轴上方且DIF高于DEA，趋势尚未完全转空；但RSI6达到66.0，且9月9日至11日连续回落，反映短线动能降温。价格上方可关注57.7~59.2元压力区，下方可关注54.1~55.0元第一支撑区及50.3~52.0元强支撑区。近期成交额多数约5000万元至1.3亿元、换手率总体偏低，9月11日资金流向及近期回撤显示短线资金面偏谨慎。</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风险提示：以下内容仅为基于截至2026年9月11日收盘数据、近期历史价格和截至2026年9月8日技术指标的主观情景推演，不构成投资建议，也不代表确定性价格预测。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57.7~59.2元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依据9月8日收盘价57.70元、9月1日高点59.84元、9月2日高点59.06元及9月8日布林带上轨59.20元。若有效突破59.2元并伴随成交额明显放大，短线才可能重新测试60元以上区域；若反复受阻，上方压力仍在。</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54.1~55.0元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依据9月11日最低价约54.09元、9月8日最低价55.36元、9月3日最低价55.00元及9月8日MA20约54.90元。若该区域失守，短线结构将明显转弱。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50.3~52.0元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依据8月17日低点50.31元、8月18日至21日成交密集区约51.8~53.8元及布林下轨49.74元。若54元附近失守且成交量放大，股价可能进一步向52元甚至50元附近寻找支撑。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形态、成交量和资金流向的主观启发式判断，不是统计概率。）：参考区间约54.5~58.0元。触发条件为守住54.1~55.0元支撑区，但无法有效突破57.7~59.2元压力区，且成交额维持近期常态、未出现连续放量。</w:t>
      </w:r>
    </w:p>
    <w:p>
      <w:pPr>
        <w:pStyle w:val="ListParagraph"/>
        <w:numPr>
          <w:ilvl w:val="0"/>
          <w:numId w:val="2"/>
        </w:numPr>
        <w:spacing w:after="80" w:line="280"/>
      </w:pPr>
      <w:r>
        <w:rPr>
          <w:sz w:val="22"/>
          <w:szCs w:val="22"/>
        </w:rPr>
        <w:t xml:space="preserve">偏弱下行（权重中等；为主观情景权重，不是统计概率或收益预测。）：参考区间约50.3~54.5元。触发条件为收盘有效跌破54元，且单日成交额明显高于近期常态、主力资金继续连续净流出，或基础化工、农药板块整体走弱。若52元也无法稳住，下方可参考50.3~51.0元区域。</w:t>
      </w:r>
    </w:p>
    <w:p>
      <w:pPr>
        <w:pStyle w:val="ListParagraph"/>
        <w:numPr>
          <w:ilvl w:val="0"/>
          <w:numId w:val="2"/>
        </w:numPr>
        <w:spacing w:after="80" w:line="280"/>
      </w:pPr>
      <w:r>
        <w:rPr>
          <w:sz w:val="22"/>
          <w:szCs w:val="22"/>
        </w:rPr>
        <w:t xml:space="preserve">反弹走强（权重偏低；为主观情景权重，不是统计概率或收益预测。）：参考区间约58.0~60.5元。触发条件为重新站上58元并有效突破59.2元布林上轨或近期高点，同时成交额连续放大至约1.5亿元以上，主力资金由净流出转为连续净流入。</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根据2026年8月17日至9月11日历史交易数据，近期日成交量约72.8万~509万股，成交额约3724万元~2.86亿元，换手率约0.20%~1.40%；多数成交额约5000万元至1.3亿元，换手率多数约0.2%~0.8%。截至2026年6月30日的半年度报告，普通股股东总数为7557户，前十大股东合计持股约占总股本79.75%；山东润源投资、KONKIA INC及山东润农投资等实际控制人及其控制企业合计持股约67%左右，前十大股东中同时有多家公募基金及香港中央结算有限公司。该股东结构数据较2026年9月11日股价数据滞后约两个半月，不能完全代表最新持仓。较高的筹码集中度与偏低换手率意味着实际可交易筹码相对有限，价格可能对边际资金变化较敏感；低流动性环境下，短线交易可能出现较明显的价格波动和成交滑点。</w:t>
      </w:r>
    </w:p>
    <w:p>
      <w:pPr>
        <w:spacing w:after="160" w:line="300"/>
      </w:pPr>
      <w:r>
        <w:rPr>
          <w:sz w:val="22"/>
          <w:szCs w:val="22"/>
        </w:rPr>
        <w:t xml:space="preserve">可复核的成交量确认信号：若未来一周出现单日成交额持续达到1.5亿元以上，并且股价收盘站上58.0~59.2元区域，可视为短线资金参与度明显改善；若放量但收盘重新跌回54元下方，则更应理解为资金分歧或兑现压力加大，而不能简单视为上涨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观察54.1~55.0元支撑区能否有效守住；若失守，关注50.3~52.0元强支撑区。以上为观察思路，非操作指令。</w:t>
      </w:r>
    </w:p>
    <w:p>
      <w:pPr>
        <w:pStyle w:val="ListParagraph"/>
        <w:numPr>
          <w:ilvl w:val="0"/>
          <w:numId w:val="2"/>
        </w:numPr>
        <w:spacing w:after="80" w:line="280"/>
      </w:pPr>
      <w:r>
        <w:rPr>
          <w:sz w:val="22"/>
          <w:szCs w:val="22"/>
        </w:rPr>
        <w:t xml:space="preserve">观察57.7~59.2元压力区是否出现成交额配合的有效突破。以上为观察思路，非操作指令。</w:t>
      </w:r>
    </w:p>
    <w:p>
      <w:pPr>
        <w:pStyle w:val="ListParagraph"/>
        <w:numPr>
          <w:ilvl w:val="0"/>
          <w:numId w:val="2"/>
        </w:numPr>
        <w:spacing w:after="80" w:line="280"/>
      </w:pPr>
      <w:r>
        <w:rPr>
          <w:sz w:val="22"/>
          <w:szCs w:val="22"/>
        </w:rPr>
        <w:t xml:space="preserve">观察成交额能否持续超过1.5亿元，而不是仅出现单日脉冲放量。以上为观察思路，非操作指令。</w:t>
      </w:r>
    </w:p>
    <w:p>
      <w:pPr>
        <w:pStyle w:val="ListParagraph"/>
        <w:numPr>
          <w:ilvl w:val="0"/>
          <w:numId w:val="2"/>
        </w:numPr>
        <w:spacing w:after="80" w:line="280"/>
      </w:pPr>
      <w:r>
        <w:rPr>
          <w:sz w:val="22"/>
          <w:szCs w:val="22"/>
        </w:rPr>
        <w:t xml:space="preserve">观察主力资金是否由9月9日至11日的净流出状态转为连续净流入。以上为观察思路，非操作指令。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全球作物保护品行业属于成熟型、刚性需求行业，需求与粮食种植面积、病虫害发生情况、农产品价格和转基因作物推广相关。研究纪要援引行业资料预计，传统作物保护品市场到2030年仍将保持约2%的年增长，整体并非高增长行业。</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全球市场需求相对稳定，但增长速度较慢；非专利农药市场份额继续扩大。</w:t>
      </w:r>
    </w:p>
    <w:p>
      <w:pPr>
        <w:pStyle w:val="ListParagraph"/>
        <w:numPr>
          <w:ilvl w:val="0"/>
          <w:numId w:val="2"/>
        </w:numPr>
        <w:spacing w:after="80" w:line="280"/>
      </w:pPr>
      <w:r>
        <w:rPr>
          <w:sz w:val="22"/>
          <w:szCs w:val="22"/>
        </w:rPr>
        <w:t xml:space="preserve">农药原药产能阶段性过剩，价格竞争激烈；大吨位原药容易陷入同质化竞争。</w:t>
      </w:r>
    </w:p>
    <w:p>
      <w:pPr>
        <w:pStyle w:val="ListParagraph"/>
        <w:numPr>
          <w:ilvl w:val="0"/>
          <w:numId w:val="2"/>
        </w:numPr>
        <w:spacing w:after="80" w:line="280"/>
      </w:pPr>
      <w:r>
        <w:rPr>
          <w:sz w:val="22"/>
          <w:szCs w:val="22"/>
        </w:rPr>
        <w:t xml:space="preserve">环保、能耗和安全监管提高行业进入门槛，农药登记证、登记数据及当地法规经验形成重要壁垒。</w:t>
      </w:r>
    </w:p>
    <w:p>
      <w:pPr>
        <w:pStyle w:val="ListParagraph"/>
        <w:numPr>
          <w:ilvl w:val="0"/>
          <w:numId w:val="2"/>
        </w:numPr>
        <w:spacing w:after="80" w:line="280"/>
      </w:pPr>
      <w:r>
        <w:rPr>
          <w:sz w:val="22"/>
          <w:szCs w:val="22"/>
        </w:rPr>
        <w:t xml:space="preserve">海外本地渠道、品牌和终端服务能力越来越重要；差异化小品种、先进工艺和高端制剂更容易获得较高毛利。</w:t>
      </w:r>
    </w:p>
    <w:p>
      <w:pPr>
        <w:pStyle w:val="ListParagraph"/>
        <w:numPr>
          <w:ilvl w:val="0"/>
          <w:numId w:val="2"/>
        </w:numPr>
        <w:spacing w:after="80" w:line="280"/>
      </w:pPr>
      <w:r>
        <w:rPr>
          <w:sz w:val="22"/>
          <w:szCs w:val="22"/>
        </w:rPr>
        <w:t xml:space="preserve">2024年度中国农药工业协会统计显示，销售额5亿元以上农药企业共115家，总销售额2848.87亿元；销售额超过100亿元的企业有4家，行业集中度有所提升。</w:t>
      </w:r>
    </w:p>
    <w:p>
      <w:pPr>
        <w:pStyle w:val="ListParagraph"/>
        <w:numPr>
          <w:ilvl w:val="0"/>
          <w:numId w:val="2"/>
        </w:numPr>
        <w:spacing w:after="80" w:line="280"/>
      </w:pPr>
      <w:r>
        <w:rPr>
          <w:sz w:val="22"/>
          <w:szCs w:val="22"/>
        </w:rPr>
        <w:t xml:space="preserve">2024年度行业销售额排名中，安道麦、润丰股份、中农立华和扬农化工位居销售额前列。行业排名存在不同统计口径，部分资料显示润丰股份销售额为132.96亿元，另有销售百强口径显示为114.85亿元，不能直接混用。</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安道麦股份（000553.SZ）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全球大型非专利农药企业，覆盖除草剂、杀虫剂和杀菌剂，拥有全球品牌、登记和渠道体系。</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润丰股份均面向全球非专利农药市场并涉及原药、制剂和海外渠道；安道麦规模、全球品牌和市场覆盖更强，润丰股份在中国制造成本、快速响应和新兴市场本地化拓展方面具有竞争空间。2024年度中国农药企业销售额约268.02亿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江苏扬农化工（600486.SH）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国内大型农药原药和制剂企业，具有较强产业链一体化能力，产品覆盖拟除虫菊酯、草甘膦、麦草畏等。</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扬农化工在原药制造、产业链配套和部分高技术产品上优势明显；润丰股份在全球登记、海外渠道覆盖和终端市场经营方面更突出。2024年度农药销售额约102.70亿元。</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中农立华（603970.SH）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农药流通、植保技术服务和农资渠道平台型企业，具备较强国内渠道和植保服务能力。</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润丰股份并非完全同质化竞争；润丰股份偏全球制造、出口和海外品牌运营，中农立华偏国内农资流通、渠道服务和植保综合服务，双方在产品销售和终端服务领域存在一定交集。2024年度农药销售额约105.71亿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利尔化学（002258.SZ）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以除草剂等农药原药为核心，同时发展制剂和海外业务，在草铵膦、氯代吡啶类等产品上具有较强技术和规模优势。</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两家公司均具有较高海外收入和原药制造能力，均受全球农药价格、原药供需和海外需求影响；利尔化学更偏部分特色原药和技术型产品，润丰股份的产品组合、全球制剂、登记和本地化销售网络更突出。2024年度销售额约68.80亿元。</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新安股份（600596.SH）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以草甘膦、草铵膦及有机硅等产品为主，具有较强基础化工和产业链一体化属性。</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新安股份在大吨位除草剂和上游化工原料方面更偏资源及基础化工一体化；润丰股份更强调产品组合、海外登记、制剂和终端市场，双方在除草剂产品和海外农化市场存在竞争，但产业链定位并不完全相同。</w:t>
            </w:r>
          </w:p>
        </w:tc>
      </w:tr>
    </w:tbl>
    <w:p>
      <w:pPr>
        <w:spacing w:before="200"/>
      </w:pPr>
    </w:p>
    <w:p>
      <w:pPr>
        <w:spacing w:after="160" w:line="300"/>
      </w:pPr>
      <w:r>
        <w:rPr>
          <w:sz w:val="22"/>
          <w:szCs w:val="22"/>
        </w:rPr>
        <w:t xml:space="preserve">润丰股份属于中国农药行业第一梯队之外、第二梯队中的大型企业，收入规模超过百亿元，海外收入占比极高，具备原药和制剂一体化能力以及较大的全球登记和海外销售网络。相较安道麦，其全球品牌和规模仍有差距；相较扬农化工和新安股份，其优势更偏海外登记、渠道和终端市场运营，而非单纯上游基础化工一体化；相较中农立华，润丰股份更偏全球制造和海外品牌服务，双方属于存在部分交集的扩展可比公司。</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汇率风险较为突出：公司2025年境外收入占比99.18%，2026年上半年人民币升值及汇率波动使利润减少约2.34亿元，若汇率继续不利变化，可能进一步压制归母净利润。</w:t>
      </w:r>
    </w:p>
    <w:p>
      <w:pPr>
        <w:pStyle w:val="ListParagraph"/>
        <w:numPr>
          <w:ilvl w:val="0"/>
          <w:numId w:val="2"/>
        </w:numPr>
        <w:spacing w:after="80" w:line="280"/>
      </w:pPr>
      <w:r>
        <w:rPr>
          <w:sz w:val="22"/>
          <w:szCs w:val="22"/>
        </w:rPr>
        <w:t xml:space="preserve">海外经营和回款风险较高：截至2025年末应收账款51.96亿元，约占2025年营业收入35.37%，约为当年归母净利润的4.97倍；公司同时面临海外渠道库存、经销商资金状况、区域信用风险及当地农业景气度变化。</w:t>
      </w:r>
    </w:p>
    <w:p>
      <w:pPr>
        <w:pStyle w:val="ListParagraph"/>
        <w:numPr>
          <w:ilvl w:val="0"/>
          <w:numId w:val="2"/>
        </w:numPr>
        <w:spacing w:after="80" w:line="280"/>
      </w:pPr>
      <w:r>
        <w:rPr>
          <w:sz w:val="22"/>
          <w:szCs w:val="22"/>
        </w:rPr>
        <w:t xml:space="preserve">原材料和原药价格波动可能压缩利润：2025年材料成本占营业成本92.09%，公司制剂生产所需原药除部分自产外主要通过国内采购，且大吨位、同质化原药业务更接近市场价格接受者。</w:t>
      </w:r>
    </w:p>
    <w:p>
      <w:pPr>
        <w:pStyle w:val="ListParagraph"/>
        <w:numPr>
          <w:ilvl w:val="0"/>
          <w:numId w:val="2"/>
        </w:numPr>
        <w:spacing w:after="80" w:line="280"/>
      </w:pPr>
      <w:r>
        <w:rPr>
          <w:sz w:val="22"/>
          <w:szCs w:val="22"/>
        </w:rPr>
        <w:t xml:space="preserve">产品和业务结构仍存在除草剂集中风险：2025年除草剂收入100.13亿元，占营业收入68.17%；若除草剂价格、供需或行业库存周期转弱，可能对整体收入和毛利率造成较大影响。</w:t>
      </w:r>
    </w:p>
    <w:p>
      <w:pPr>
        <w:pStyle w:val="ListParagraph"/>
        <w:numPr>
          <w:ilvl w:val="0"/>
          <w:numId w:val="2"/>
        </w:numPr>
        <w:spacing w:after="80" w:line="280"/>
      </w:pPr>
      <w:r>
        <w:rPr>
          <w:sz w:val="22"/>
          <w:szCs w:val="22"/>
        </w:rPr>
        <w:t xml:space="preserve">行业产能过剩和项目回报风险仍需关注：公司此前因行业产能过剩、产品价格下行及需求变化，已终止部分草甘膦和除草剂项目，并将剩余募集资金转用于全球登记项目；未来新增产能、登记投入及商业化进度存在不确定性。</w:t>
      </w:r>
    </w:p>
    <w:p>
      <w:pPr>
        <w:pStyle w:val="ListParagraph"/>
        <w:numPr>
          <w:ilvl w:val="0"/>
          <w:numId w:val="2"/>
        </w:numPr>
        <w:spacing w:after="80" w:line="280"/>
      </w:pPr>
      <w:r>
        <w:rPr>
          <w:sz w:val="22"/>
          <w:szCs w:val="22"/>
        </w:rPr>
        <w:t xml:space="preserve">现金流与营运资金风险需要跟踪：2026年上半年经营活动现金流净额同比下降86.00%至1.25亿元，而公司持续开展全球市场拓展和本地化经营，若应收账款、存货或海外渠道资金占用继续增加，可能加大资金压力。</w:t>
      </w:r>
    </w:p>
    <w:p>
      <w:pPr>
        <w:pStyle w:val="ListParagraph"/>
        <w:numPr>
          <w:ilvl w:val="0"/>
          <w:numId w:val="2"/>
        </w:numPr>
        <w:spacing w:after="80" w:line="280"/>
      </w:pPr>
      <w:r>
        <w:rPr>
          <w:sz w:val="22"/>
          <w:szCs w:val="22"/>
        </w:rPr>
        <w:t xml:space="preserve">估值和盈利兑现风险并存：截至2026年9月11日公司动态或滚动市盈率约20至21倍，机构对2026年归母净利润预测区间为10.82亿至14.45亿元；若汇率、海外需求、产品价格或毛利率不及预期，估值消化和盈利预测兑现可能受到影响。</w:t>
      </w:r>
    </w:p>
    <w:p>
      <w:pPr>
        <w:pStyle w:val="ListParagraph"/>
        <w:numPr>
          <w:ilvl w:val="0"/>
          <w:numId w:val="2"/>
        </w:numPr>
        <w:spacing w:after="80" w:line="280"/>
      </w:pPr>
      <w:r>
        <w:rPr>
          <w:sz w:val="22"/>
          <w:szCs w:val="22"/>
        </w:rPr>
        <w:t xml:space="preserve">股权质押及交易流动性风险尚未完全消除：控股股东9月解除部分质押后仍累计质押所持股份约24.88%，公司前十大股东合计持股约79.75%、实际控制人及其控制企业合计持股约67%左右，近期换手率总体偏低，边际资金变化可能放大股价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润丰股份的核心增长逻辑在于从传统原药供应和Model A/B业务向Model C、全球制剂、登记、品牌及本地渠道服务延伸，并通过北美、欧盟等市场拓展以及杀虫剂、杀菌剂和新活性组分登记提升产品附加值。Model C占比提升、2026年上半年毛利率改善以及二季度收入和净利润环比回升，表明业务结构优化正在形成一定经营支撑。</w:t>
      </w:r>
    </w:p>
    <w:p>
      <w:pPr>
        <w:spacing w:after="160" w:line="300"/>
      </w:pPr>
      <w:r>
        <w:rPr>
          <w:sz w:val="22"/>
          <w:szCs w:val="22"/>
        </w:rPr>
        <w:t xml:space="preserve">后续业绩能否持续改善，取决于海外需求和产品价格、Model C扩张、差异化产品及制剂占比提升、原药成本控制，以及人民币汇率变化。2026年上半年收入增长但净利润下降，且经营现金流显著下滑，说明利润修复尚未完全转化为现金流改善；机构对2026年归母净利润的预测区间为10.82亿至14.45亿元，存在较大差异，实际兑现仍需观察。</w:t>
      </w:r>
    </w:p>
    <w:p>
      <w:pPr>
        <w:spacing w:after="160" w:line="300"/>
      </w:pPr>
      <w:r>
        <w:rPr>
          <w:sz w:val="22"/>
          <w:szCs w:val="22"/>
        </w:rPr>
        <w:t xml:space="preserve">公司估值已不属于低估值传统化工股水平，未来估值变化与盈利增长兑现程度密切相关。技术面上，54.1至55.0元附近为短期支撑参考，57.7至59.2元附近为压力参考，但相关指标存在滞后性，股价还将受到汇率、海外市场、资金流向和农药产品价格变化影响。</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https://static.cninfo.com.cn/finalpage/2025-04-25/1223265948.PDF — https://static.cninfo.com.cn/finalpage/2025-04-25/1223265948.PDF</w:t>
      </w:r>
    </w:p>
    <w:p>
      <w:pPr>
        <w:spacing w:after="200"/>
      </w:pPr>
      <w:r>
        <w:rPr>
          <w:i/>
          <w:iCs/>
          <w:color w:val="595959"/>
          <w:sz w:val="18"/>
          <w:szCs w:val="18"/>
        </w:rPr>
        <w:t xml:space="preserve">https://static.cninfo.com.cn/finalpage/2026-04-27/1225191685.PDF — https://static.cninfo.com.cn/finalpage/2026-04-27/1225191685.PDF</w:t>
      </w:r>
    </w:p>
    <w:p>
      <w:pPr>
        <w:spacing w:after="200"/>
      </w:pPr>
      <w:r>
        <w:rPr>
          <w:i/>
          <w:iCs/>
          <w:color w:val="595959"/>
          <w:sz w:val="18"/>
          <w:szCs w:val="18"/>
        </w:rPr>
        <w:t xml:space="preserve">公司公告_润丰股份：2025年年度报告新浪财经_新浪网 — https://vip.stock.finance.sina.com.cn/corp/view/vCB_AllBulletinDetail.php?id=12203828</w:t>
      </w:r>
    </w:p>
    <w:p>
      <w:pPr>
        <w:spacing w:after="200"/>
      </w:pPr>
      <w:r>
        <w:rPr>
          <w:i/>
          <w:iCs/>
          <w:color w:val="595959"/>
          <w:sz w:val="18"/>
          <w:szCs w:val="18"/>
        </w:rPr>
        <w:t xml:space="preserve">润丰股份(301035)的历史市盈率,历史市净率,历史股息率,新闻,财报,研报,数据 - 理财大视野 — https://dashiyetouzi.com/tools/stock.php?stock_id=301035&amp;utm_source=openai</w:t>
      </w:r>
    </w:p>
    <w:p>
      <w:pPr>
        <w:spacing w:after="200"/>
      </w:pPr>
      <w:r>
        <w:rPr>
          <w:i/>
          <w:iCs/>
          <w:color w:val="595959"/>
          <w:sz w:val="18"/>
          <w:szCs w:val="18"/>
        </w:rPr>
        <w:t xml:space="preserve">中国农药行业销售额5亿元以上企业排名揭晓，安道麦、润丰、中农立华位列前三-中国农药网 — https://www.pesticidenews.cn/zgny/tbbd/content/bd0e5d87-0184-4c44-8adf-41b165830c63.html?utm_source=openai</w:t>
      </w:r>
    </w:p>
    <w:p>
      <w:pPr>
        <w:spacing w:after="200"/>
      </w:pPr>
      <w:r>
        <w:rPr>
          <w:i/>
          <w:iCs/>
          <w:color w:val="595959"/>
          <w:sz w:val="18"/>
          <w:szCs w:val="18"/>
        </w:rPr>
        <w:t xml:space="preserve">中国农药行业发展趋势分析与投资前景研究报告（2026-2033年）_观研报告网 — https://www.chinabaogao.com/detail/771656.html?utm_source=openai</w:t>
      </w:r>
    </w:p>
    <w:p>
      <w:pPr>
        <w:spacing w:after="200"/>
      </w:pPr>
      <w:r>
        <w:rPr>
          <w:i/>
          <w:iCs/>
          <w:color w:val="595959"/>
          <w:sz w:val="18"/>
          <w:szCs w:val="18"/>
        </w:rPr>
        <w:t xml:space="preserve">润丰股份(301035)_公司公告_润丰股份：2026年半年度报告摘要新浪财经_新浪网 — https://vip.stock.finance.sina.com.cn/corp/view/vCB_AllBulletinDetail.php?CompanyCode=80304324&amp;gather=1&amp;id=12515778&amp;utm_source=openai</w:t>
      </w:r>
    </w:p>
    <w:p>
      <w:pPr>
        <w:spacing w:after="200"/>
      </w:pPr>
      <w:r>
        <w:rPr>
          <w:i/>
          <w:iCs/>
          <w:color w:val="595959"/>
          <w:sz w:val="18"/>
          <w:szCs w:val="18"/>
        </w:rPr>
        <w:t xml:space="preserve">润丰股份(301035)_公司公告_润丰股份：2026年半年度报告新浪财经_新浪网 — https://money.finance.sina.com.cn/corp/view/vCB_AllBulletinDetail.php?id=12515784&amp;stockid=301035</w:t>
      </w:r>
    </w:p>
    <w:p>
      <w:pPr>
        <w:spacing w:after="200"/>
      </w:pPr>
      <w:r>
        <w:rPr>
          <w:i/>
          <w:iCs/>
          <w:color w:val="595959"/>
          <w:sz w:val="18"/>
          <w:szCs w:val="18"/>
        </w:rPr>
        <w:t xml:space="preserve">润丰股份(301035)2026年半年度报告点评：业务结构优化毛利率持续提升 汇兑损失拖累当期业绩__新浪财经_新浪网 — https://stock.finance.sina.com.cn/stock/go.php/vReport_Show/kind/search/rptid/840901926637/index.phtml?utm_source=openai</w:t>
      </w:r>
    </w:p>
    <w:p>
      <w:pPr>
        <w:spacing w:after="200"/>
      </w:pPr>
      <w:r>
        <w:rPr>
          <w:i/>
          <w:iCs/>
          <w:color w:val="595959"/>
          <w:sz w:val="18"/>
          <w:szCs w:val="18"/>
        </w:rPr>
        <w:t xml:space="preserve">Rainbow 润丰股份2026年半年度报告全文 — https://disc.static.szse.cn/disc/disk03/finalpage/2026-08-22/ff7fd4c9-901c-4ed1-8348-1de7aa3bb106.PDF?utm_source=openai</w:t>
      </w:r>
    </w:p>
    <w:p>
      <w:pPr>
        <w:spacing w:after="200"/>
      </w:pPr>
      <w:r>
        <w:rPr>
          <w:i/>
          <w:iCs/>
          <w:color w:val="595959"/>
          <w:sz w:val="18"/>
          <w:szCs w:val="18"/>
        </w:rPr>
        <w:t xml:space="preserve">润丰股份(301035)_公司公告_润丰股份：2025年年度报告摘要新浪财经_新浪网 — https://vip.stock.finance.sina.com.cn/corp/view/vCB_AllBulletinDetail.php?id=12203782&amp;stockid=301035&amp;utm_source=openai</w:t>
      </w:r>
    </w:p>
    <w:p>
      <w:pPr>
        <w:spacing w:after="200"/>
      </w:pPr>
      <w:r>
        <w:rPr>
          <w:i/>
          <w:iCs/>
          <w:color w:val="595959"/>
          <w:sz w:val="18"/>
          <w:szCs w:val="18"/>
        </w:rPr>
        <w:t xml:space="preserve">润丰股份(301035) 盈利预测_F10_同花顺金融服务网 — https://basic.10jqka.com.cn/301035/worth.html?utm_source=openai</w:t>
      </w:r>
    </w:p>
    <w:p>
      <w:pPr>
        <w:spacing w:after="200"/>
      </w:pPr>
      <w:r>
        <w:rPr>
          <w:i/>
          <w:iCs/>
          <w:color w:val="595959"/>
          <w:sz w:val="18"/>
          <w:szCs w:val="18"/>
        </w:rPr>
        <w:t xml:space="preserve">机构评级|2家机构更新润丰股份评级 — https://stock.10jqka.com.cn/20260824/c679231593.shtml</w:t>
      </w:r>
    </w:p>
    <w:p>
      <w:pPr>
        <w:spacing w:after="200"/>
      </w:pPr>
      <w:r>
        <w:rPr>
          <w:i/>
          <w:iCs/>
          <w:color w:val="595959"/>
          <w:sz w:val="18"/>
          <w:szCs w:val="18"/>
        </w:rPr>
        <w:t xml:space="preserve">润丰股份(301035)股票历史数据:历史行情,价格,走势图表_英为财情Investing.com — https://cn.investing.com/equities/shandong-weifang-rainbow-chemical-historical-data?utm_source=openai</w:t>
      </w:r>
    </w:p>
    <w:p>
      <w:pPr>
        <w:spacing w:after="200"/>
      </w:pPr>
      <w:r>
        <w:rPr>
          <w:i/>
          <w:iCs/>
          <w:color w:val="595959"/>
          <w:sz w:val="18"/>
          <w:szCs w:val="18"/>
        </w:rPr>
        <w:t xml:space="preserve">润丰股份(301035)市盈率|估值|基本面 - 理杏仁 — https://www.lixinger.com/equity/company/detail/sz/301035/301035/fundamental/valuation/pe-ttm?utm_source=openai</w:t>
      </w:r>
    </w:p>
    <w:p>
      <w:pPr>
        <w:spacing w:after="200"/>
      </w:pPr>
      <w:r>
        <w:rPr>
          <w:i/>
          <w:iCs/>
          <w:color w:val="595959"/>
          <w:sz w:val="18"/>
          <w:szCs w:val="18"/>
        </w:rPr>
        <w:t xml:space="preserve">润丰股份(301035) 最新动态_F10_同花顺金融服务网 — https://basic.10jqka.com.cn/301035/?utm_source=openai</w:t>
      </w:r>
    </w:p>
    <w:p>
      <w:pPr>
        <w:spacing w:after="200"/>
      </w:pPr>
      <w:r>
        <w:rPr>
          <w:i/>
          <w:iCs/>
          <w:color w:val="595959"/>
          <w:sz w:val="18"/>
          <w:szCs w:val="18"/>
        </w:rPr>
        <w:t xml:space="preserve">润丰股份(301035)_公司公告_润丰股份：2026年半年度报告摘要新浪财经_新浪网 — https://money.finance.sina.com.cn/corp/view/vCB_AllBulletinDetail.php?id=12515778&amp;stockid=301035</w:t>
      </w:r>
    </w:p>
    <w:p>
      <w:pPr>
        <w:spacing w:after="200"/>
      </w:pPr>
      <w:r>
        <w:rPr>
          <w:i/>
          <w:iCs/>
          <w:color w:val="595959"/>
          <w:sz w:val="18"/>
          <w:szCs w:val="18"/>
        </w:rPr>
        <w:t xml:space="preserve">润丰股份(301035)_公司公告_润丰股份：关于控股股东部分股份解除质押的公告新浪财经_新浪网 — https://money.finance.sina.com.cn/corp/view/vCB_AllBulletinDetail.php?id=12593871&amp;stockid=301035</w:t>
      </w:r>
    </w:p>
    <w:p>
      <w:pPr>
        <w:spacing w:after="200"/>
      </w:pPr>
      <w:r>
        <w:rPr>
          <w:i/>
          <w:iCs/>
          <w:color w:val="595959"/>
          <w:sz w:val="18"/>
          <w:szCs w:val="18"/>
        </w:rPr>
        <w:t xml:space="preserve">润丰股份(301035)_公司公告_润丰股份：关于控股股东部分股份质押的公告新浪财经_新浪网 — https://money.finance.sina.com.cn/corp/view/vCB_AllBulletinDetail.php?id=12568629&amp;stockid=301035&amp;utm_source=openai</w:t>
      </w:r>
    </w:p>
    <w:p>
      <w:pPr>
        <w:spacing w:after="200"/>
      </w:pPr>
      <w:r>
        <w:rPr>
          <w:i/>
          <w:iCs/>
          <w:color w:val="595959"/>
          <w:sz w:val="18"/>
          <w:szCs w:val="18"/>
        </w:rPr>
        <w:t xml:space="preserve">润丰股份(301035)_公司公告_润丰股份：关于实际控制人、董事长增持公司股份计划实施完毕暨增持结果的公告新浪财经_新浪网 — https://money.finance.sina.com.cn/corp/view/vCB_AllBulletinDetail.php?id=12428631&amp;stockid=301035&amp;utm_source=openai</w:t>
      </w:r>
    </w:p>
    <w:p>
      <w:pPr>
        <w:spacing w:after="200"/>
      </w:pPr>
      <w:r>
        <w:rPr>
          <w:i/>
          <w:iCs/>
          <w:color w:val="595959"/>
          <w:sz w:val="18"/>
          <w:szCs w:val="18"/>
        </w:rPr>
        <w:t xml:space="preserve">https://disc.static.szse.cn/download/disc/disk03/finalpage/2026-08-22/d7c87d7c-f52e-4fc4-802c-d7e6897f6f7a.PDF — https://disc.static.szse.cn/download/disc/disk03/finalpage/2026-08-22/d7c87d7c-f52e-4fc4-802c-d7e6897f6f7a.PDF</w:t>
      </w:r>
    </w:p>
    <w:p>
      <w:pPr>
        <w:spacing w:after="200"/>
      </w:pPr>
      <w:r>
        <w:rPr>
          <w:i/>
          <w:iCs/>
          <w:color w:val="595959"/>
          <w:sz w:val="18"/>
          <w:szCs w:val="18"/>
        </w:rPr>
        <w:t xml:space="preserve">润丰股份(301035)_公司公告_润丰股份：2026年半年度权益分派实施公告新浪财经_新浪网 — https://money.finance.sina.com.cn/corp/view/vCB_AllBulletinDetail.php?id=12552229&amp;stockid=301035&amp;utm_source=openai</w:t>
      </w:r>
    </w:p>
    <w:p>
      <w:pPr>
        <w:spacing w:after="200"/>
      </w:pPr>
      <w:r>
        <w:rPr>
          <w:i/>
          <w:iCs/>
          <w:color w:val="595959"/>
          <w:sz w:val="18"/>
          <w:szCs w:val="18"/>
        </w:rPr>
        <w:t xml:space="preserve">润丰股份(301035)_公司公告_润丰股份：2026年8月24日投资者关系活动记录表新浪财经_新浪网 — https://money.finance.sina.com.cn/corp/view/vCB_AllBulletinDetail.php?id=12523640&amp;stockid=301035&amp;utm_source=openai</w:t>
      </w:r>
    </w:p>
    <w:p>
      <w:pPr>
        <w:spacing w:after="200"/>
      </w:pPr>
      <w:r>
        <w:rPr>
          <w:i/>
          <w:iCs/>
          <w:color w:val="595959"/>
          <w:sz w:val="18"/>
          <w:szCs w:val="18"/>
        </w:rPr>
        <w:t xml:space="preserve">深圳证券交易所创业板上市公司列表 — https://zh.wikipedia.org/wiki/%E6%B7%B1%E5%9C%B3%E8%AF%81%E5%88%B8%E4%BA%A4%E6%98%93%E6%89%80%E5%88%9B%E4%B8%9A%E6%9D%BF%E4%B8%8A%E5%B8%82%E5%85%AC%E5%8F%B8%E5%88%97%E8%A1%A8?utm_source=openai</w:t>
      </w:r>
    </w:p>
    <w:p>
      <w:pPr>
        <w:spacing w:after="200"/>
      </w:pPr>
      <w:r>
        <w:rPr>
          <w:i/>
          <w:iCs/>
          <w:color w:val="595959"/>
          <w:sz w:val="18"/>
          <w:szCs w:val="18"/>
        </w:rPr>
        <w:t xml:space="preserve">润丰股份(301035)_股票行情，行情首页_中财网 — https://quote.cfi.cn/quote.aspx?client=pc&amp;lm=FJCXSY_HJ&amp;stockid=67454&amp;utm_source=openai</w:t>
      </w:r>
    </w:p>
    <w:p>
      <w:pPr>
        <w:spacing w:after="200"/>
      </w:pPr>
      <w:r>
        <w:rPr>
          <w:i/>
          <w:iCs/>
          <w:color w:val="595959"/>
          <w:sz w:val="18"/>
          <w:szCs w:val="18"/>
        </w:rPr>
        <w:t xml:space="preserve">润丰股份(301035.SZ) 股票行情_历史数据_主力资金 - 大波浪数据 — https://www.yyqyx.com/s/301035.SZ</w:t>
      </w:r>
    </w:p>
    <w:p>
      <w:pPr>
        <w:spacing w:after="200"/>
      </w:pPr>
      <w:r>
        <w:rPr>
          <w:i/>
          <w:iCs/>
          <w:color w:val="595959"/>
          <w:sz w:val="18"/>
          <w:szCs w:val="18"/>
        </w:rPr>
        <w:t xml:space="preserve">Shandong Weifang Rainbow Chemical Co Ltd (301035)歷史價格 - Investing.com — https://hk.investing.com/equities/shandong-weifang-rainbow-chemical-historical-data?utm_source=openai</w:t>
      </w:r>
    </w:p>
    <w:p>
      <w:pPr>
        <w:spacing w:after="200"/>
      </w:pPr>
      <w:r>
        <w:rPr>
          <w:i/>
          <w:iCs/>
          <w:color w:val="595959"/>
          <w:sz w:val="18"/>
          <w:szCs w:val="18"/>
        </w:rPr>
        <w:t xml:space="preserve">润丰股份(301035)股票历史数据:历史行情,价格,走势图表_英为财情Investing.com — https://cn.investing.com/equities/shandong-weifang-rainbow-chemical-historical-data</w:t>
      </w:r>
    </w:p>
    <w:p>
      <w:pPr>
        <w:spacing w:after="200"/>
      </w:pPr>
      <w:r>
        <w:rPr>
          <w:i/>
          <w:iCs/>
          <w:color w:val="595959"/>
          <w:sz w:val="18"/>
          <w:szCs w:val="18"/>
        </w:rPr>
        <w:t xml:space="preserve">单股调研 — https://www.ashare-dashboard.com/stocks?details=1&amp;ts_code=605033.SH&amp;utm_source=openai</w:t>
      </w:r>
    </w:p>
    <w:p>
      <w:pPr>
        <w:spacing w:after="200"/>
      </w:pPr>
      <w:r>
        <w:rPr>
          <w:i/>
          <w:iCs/>
          <w:color w:val="595959"/>
          <w:sz w:val="18"/>
          <w:szCs w:val="18"/>
        </w:rPr>
        <w:t xml:space="preserve">润丰股份 (301035) - 历史交易数据 | 打板客网 — https://dabanke.com/hangqing-301035.html</w:t>
      </w:r>
    </w:p>
    <w:p>
      <w:pPr>
        <w:spacing w:after="200"/>
      </w:pPr>
      <w:r>
        <w:rPr>
          <w:i/>
          <w:iCs/>
          <w:color w:val="595959"/>
          <w:sz w:val="18"/>
          <w:szCs w:val="18"/>
        </w:rPr>
        <w:t xml:space="preserve">润丰股份(301035) 股东研究_F10_同花顺金融服务网 — https://basic.10jqka.com.cn/301035/holder.html</w:t>
      </w:r>
    </w:p>
    <w:p>
      <w:pPr>
        <w:spacing w:after="200"/>
      </w:pPr>
      <w:r>
        <w:rPr>
          <w:i/>
          <w:iCs/>
          <w:color w:val="595959"/>
          <w:sz w:val="18"/>
          <w:szCs w:val="18"/>
        </w:rPr>
        <w:t xml:space="preserve">本报告由AI基于公开渠道信息自动检索、整理并生成，信息截至 行情数据截至2026年9月11日收盘；完整技术指标主要截至2026年9月8日，股东结构数据截至2026年6月30日。不同数据源在收盘价、最低价及52周高低点方面存在口径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2026-09-14T00:38:26.440Z</dcterms:created>
  <dcterms:modified xsi:type="dcterms:W3CDTF">2026-09-14T00:38:26.440Z</dcterms:modified>
</cp:coreProperties>
</file>

<file path=docProps/custom.xml><?xml version="1.0" encoding="utf-8"?>
<Properties xmlns="http://schemas.openxmlformats.org/officeDocument/2006/custom-properties" xmlns:vt="http://schemas.openxmlformats.org/officeDocument/2006/docPropsVTypes"/>
</file>