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可孚医疗科技股份有限公司（可孚医疗） (301087)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行业：家用医疗器械与家庭健康管理</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数据截至2026年9月11日收盘；股东及机构持仓数据截至2026年6月30日，存在季度滞后；部分行情指标因来源口径或数据时点差异存在不确定性。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可孚医疗2026年上半年实现营业收入20.72亿元，同比增长38.51%；归母净利润2.02亿元，同比增长20.84%，扣非归母净利润1.73亿元，同比增长26.73%。收入增长明显提速，但利润增速低于收入增速，主要受销售费用、渠道投放及海外拓展投入增加影响；同期销售费用约7.63亿元，同比增长58.8%，经营活动现金流量净额为2.62亿元，同比下降约25.3%，盈利增长与现金流质量仍需同步观察。</w:t>
      </w:r>
    </w:p>
    <w:p>
      <w:pPr>
        <w:spacing w:after="160" w:line="300"/>
      </w:pPr>
      <w:r>
        <w:rPr>
          <w:sz w:val="22"/>
          <w:szCs w:val="22"/>
        </w:rPr>
        <w:t xml:space="preserve">公司增长动力正从传统多品类零售向高毛利产品、呼吸支持和海外业务延伸。2026年上半年综合毛利率为55.89%，较上年同期提升约3.4个百分点；呼吸支持收入约2.67亿元，同比增长166.90%，自研呼吸机2026年第二季度销售额突破1亿元；海外业务收入约2.10亿元，同比增长116.97%。此外，公司获得飞利浦大中华区7个健康监测品类品牌授权，参股融昕医疗并推进家用呼吸机海外协同，但相关授权和认证信息尚不等同于已实现销售收入。</w:t>
      </w:r>
    </w:p>
    <w:p>
      <w:pPr>
        <w:spacing w:after="160" w:line="300"/>
      </w:pPr>
      <w:r>
        <w:rPr>
          <w:sz w:val="22"/>
          <w:szCs w:val="22"/>
        </w:rPr>
        <w:t xml:space="preserve">公司基本盘仍以境内和线上渠道为主，2024年境内收入占比98.02%，线上产品销售收入占比66.73%；康复辅具和医疗护理是主要收入及利润支柱。2024年医疗健康类产品毛利率升至52.74%，其中康复辅具毛利率达到61.15%，但健康监测和呼吸支持此前存在收入波动，健耳听力新店及兴趣电商投入也对费用率形成压力。</w:t>
      </w:r>
    </w:p>
    <w:p>
      <w:pPr>
        <w:spacing w:after="160" w:line="300"/>
      </w:pPr>
      <w:r>
        <w:rPr>
          <w:sz w:val="22"/>
          <w:szCs w:val="22"/>
        </w:rPr>
        <w:t xml:space="preserve">截至2026年9月11日，公司股价收于52.77元，滚动市盈率约30倍，已接近53.5—55.2元的技术压力区；均线结构偏强，但RSI6约87、RSI14约68，短线动能偏热，且近5个交易日主力资金总体仍为净流出。当前估值和股价表现已经包含一定业绩增长预期，后续表现取决于呼吸机放量、海外业务扩张、品牌授权转化以及销售费用效率改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301087.SZ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2009年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2021年10月25日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全生命周期个人健康管理企业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29.83亿元，同比增长4.53%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2024年医疗健康类产品收入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28.42亿元，占营业收入95.26%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2024年境内收入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29.24亿元，占比98.02%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2024年境外收入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0.59亿元，占比1.98%，海外业务仍处于培育阶段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2024年线上产品销售收入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19.90亿元，占营业收入66.73%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2024年线下产品销售收入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8.51亿元，占营业收入28.53%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主要品牌</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可孚、健耳听力、背背佳、吉芮医疗、颜本舒、氧立得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生产与研发资源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已在长沙、岳阳和南通等地建立生产基地；截至2024年12月31日累计获得授权专利592项、软件著作权170项，设有医疗电子与康复医学、生物传感与创新材料、呼吸支持三个研究院</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健康监测：血压计、血糖仪、血糖尿酸检测产品、体温计、胎心仪等</w:t>
      </w:r>
    </w:p>
    <w:p>
      <w:pPr>
        <w:pStyle w:val="ListParagraph"/>
        <w:numPr>
          <w:ilvl w:val="0"/>
          <w:numId w:val="2"/>
        </w:numPr>
        <w:spacing w:after="80" w:line="280"/>
      </w:pPr>
      <w:r>
        <w:rPr>
          <w:sz w:val="22"/>
          <w:szCs w:val="22"/>
        </w:rPr>
        <w:t xml:space="preserve">康复辅具：轮椅、护理床、矫姿带、助听器及听力康复服务等</w:t>
      </w:r>
    </w:p>
    <w:p>
      <w:pPr>
        <w:pStyle w:val="ListParagraph"/>
        <w:numPr>
          <w:ilvl w:val="0"/>
          <w:numId w:val="2"/>
        </w:numPr>
        <w:spacing w:after="80" w:line="280"/>
      </w:pPr>
      <w:r>
        <w:rPr>
          <w:sz w:val="22"/>
          <w:szCs w:val="22"/>
        </w:rPr>
        <w:t xml:space="preserve">呼吸支持：制氧机、呼吸机、雾化器、睡眠呼吸相关产品等</w:t>
      </w:r>
    </w:p>
    <w:p>
      <w:pPr>
        <w:pStyle w:val="ListParagraph"/>
        <w:numPr>
          <w:ilvl w:val="0"/>
          <w:numId w:val="2"/>
        </w:numPr>
        <w:spacing w:after="80" w:line="280"/>
      </w:pPr>
      <w:r>
        <w:rPr>
          <w:sz w:val="22"/>
          <w:szCs w:val="22"/>
        </w:rPr>
        <w:t xml:space="preserve">医疗护理：敷料、敷贴、棉球/棉签/棉片、口腔护理、造口护理、伤口护理、护理垫等</w:t>
      </w:r>
    </w:p>
    <w:p>
      <w:pPr>
        <w:pStyle w:val="ListParagraph"/>
        <w:numPr>
          <w:ilvl w:val="0"/>
          <w:numId w:val="2"/>
        </w:numPr>
        <w:spacing w:after="80" w:line="280"/>
      </w:pPr>
      <w:r>
        <w:rPr>
          <w:sz w:val="22"/>
          <w:szCs w:val="22"/>
        </w:rPr>
        <w:t xml:space="preserve">中医理疗及其他：理疗仪、艾灸、拔罐等中医理疗产品及相关健康产品</w:t>
      </w:r>
    </w:p>
    <w:p>
      <w:pPr>
        <w:pStyle w:val="ListParagraph"/>
        <w:numPr>
          <w:ilvl w:val="0"/>
          <w:numId w:val="2"/>
        </w:numPr>
        <w:spacing w:after="80" w:line="280"/>
      </w:pPr>
      <w:r>
        <w:rPr>
          <w:sz w:val="22"/>
          <w:szCs w:val="22"/>
        </w:rPr>
        <w:t xml:space="preserve">2024年主要收入构成：康复辅具类产品11.04亿元，占37.00%；医疗护理类产品8.01亿元，占26.86%；健康监测类产品4.89亿元，占16.39%；呼吸支持类产品2.67亿元，占8.95%；中医理疗及其他1.81亿元，占6.06%；其他业务1.41亿元，占4.74%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可孚医疗位于家用医疗器械产业链的中游制造与下游品牌零售结合位置，采用“自主研发生产＋部分产品委外生产＋外购自有品牌产品＋代理品牌补充”的模式，并通过电商、连锁药房、医疗器械零售门店、仓储式卖场及听力服务渠道触达消费者。</w:t>
      </w:r>
    </w:p>
    <w:p>
      <w:pPr>
        <w:pStyle w:val="ListParagraph"/>
        <w:numPr>
          <w:ilvl w:val="0"/>
          <w:numId w:val="2"/>
        </w:numPr>
        <w:spacing w:after="80" w:line="280"/>
      </w:pPr>
      <w:r>
        <w:rPr>
          <w:sz w:val="22"/>
          <w:szCs w:val="22"/>
        </w:rPr>
        <w:t xml:space="preserve">主要采购品类包括电子元器件、结构部件、塑料件、包装材料、缝制及纺织类部件、部分医疗耗材和功能性材料。</w:t>
      </w:r>
    </w:p>
    <w:p>
      <w:pPr>
        <w:pStyle w:val="ListParagraph"/>
        <w:numPr>
          <w:ilvl w:val="0"/>
          <w:numId w:val="2"/>
        </w:numPr>
        <w:spacing w:after="80" w:line="280"/>
      </w:pPr>
      <w:r>
        <w:rPr>
          <w:sz w:val="22"/>
          <w:szCs w:val="22"/>
        </w:rPr>
        <w:t xml:space="preserve">采购模式包括生产相关原材料和零部件采购、可孚自有品牌成品采购以及代理品牌产品采购。</w:t>
      </w:r>
    </w:p>
    <w:p>
      <w:pPr>
        <w:pStyle w:val="ListParagraph"/>
        <w:numPr>
          <w:ilvl w:val="0"/>
          <w:numId w:val="2"/>
        </w:numPr>
        <w:spacing w:after="80" w:line="280"/>
      </w:pPr>
      <w:r>
        <w:rPr>
          <w:sz w:val="22"/>
          <w:szCs w:val="22"/>
        </w:rPr>
        <w:t xml:space="preserve">2024年自产产品成本中，直接材料为6.15亿元，占自产产品营业成本45.82%；直接人工占5.58%，制造费用占4.14%，委托加工费占0.87%。外购自有品牌产品成本2.57亿元，占营业成本19.13%；外购代理品牌产品成本2.37亿元，占17.65%。</w:t>
      </w:r>
    </w:p>
    <w:p>
      <w:pPr>
        <w:pStyle w:val="ListParagraph"/>
        <w:numPr>
          <w:ilvl w:val="0"/>
          <w:numId w:val="2"/>
        </w:numPr>
        <w:spacing w:after="80" w:line="280"/>
      </w:pPr>
      <w:r>
        <w:rPr>
          <w:sz w:val="22"/>
          <w:szCs w:val="22"/>
        </w:rPr>
        <w:t xml:space="preserve">2024年前五大供应商采购金额合计3.28亿元，占年度采购总额26.54%；第一大供应商占10.57%。供应商集中度整体不算极高，不存在对单一供应商的极端依赖。</w:t>
      </w:r>
    </w:p>
    <w:p>
      <w:pPr>
        <w:pStyle w:val="ListParagraph"/>
        <w:numPr>
          <w:ilvl w:val="0"/>
          <w:numId w:val="2"/>
        </w:numPr>
        <w:spacing w:after="80" w:line="280"/>
      </w:pPr>
      <w:r>
        <w:rPr>
          <w:sz w:val="22"/>
          <w:szCs w:val="22"/>
        </w:rPr>
        <w:t xml:space="preserve">公司在电子元器件和结构件等上游环节总体属于采购方中的规模型客户，但并非对所有供应商具有绝对议价权。部分关键零部件需要经过研发验证、注册及质量认证，供应商切换并不完全自由。</w:t>
      </w:r>
    </w:p>
    <w:p>
      <w:pPr>
        <w:pStyle w:val="ListParagraph"/>
        <w:numPr>
          <w:ilvl w:val="0"/>
          <w:numId w:val="2"/>
        </w:numPr>
        <w:spacing w:after="80" w:line="280"/>
      </w:pPr>
      <w:r>
        <w:rPr>
          <w:sz w:val="22"/>
          <w:szCs w:val="22"/>
        </w:rPr>
        <w:t xml:space="preserve">公司对上游电子元器件、结构件、塑料件、纺织部件等成本总体缺乏绝对定价权，相关成本仍可能受到原材料价格、人工成本和供应链波动影响。2024年毛利改善主要来自产品结构、自产比例、渠道效率和康复辅具业务占比提升，而非单纯依靠原材料价格下降。</w:t>
      </w:r>
    </w:p>
    <w:p>
      <w:pPr>
        <w:pStyle w:val="ListParagraph"/>
        <w:numPr>
          <w:ilvl w:val="0"/>
          <w:numId w:val="2"/>
        </w:numPr>
        <w:spacing w:after="80" w:line="280"/>
      </w:pPr>
      <w:r>
        <w:rPr>
          <w:sz w:val="22"/>
          <w:szCs w:val="22"/>
        </w:rPr>
        <w:t xml:space="preserve">主要下游客户包括电商平台及线上消费者、大型连锁药房、医疗器械零售门店、仓储式卖场、助听器和听力康复服务客户、海外经销商及终端客户。</w:t>
      </w:r>
    </w:p>
    <w:p>
      <w:pPr>
        <w:pStyle w:val="ListParagraph"/>
        <w:numPr>
          <w:ilvl w:val="0"/>
          <w:numId w:val="2"/>
        </w:numPr>
        <w:spacing w:after="80" w:line="280"/>
      </w:pPr>
      <w:r>
        <w:rPr>
          <w:sz w:val="22"/>
          <w:szCs w:val="22"/>
        </w:rPr>
        <w:t xml:space="preserve">公司与数十家连锁药房百强企业合作，产品和服务覆盖全国20多万家药店；线上渠道为核心销售渠道，2024年线上产品销售收入占营业收入66.73%。</w:t>
      </w:r>
    </w:p>
    <w:p>
      <w:pPr>
        <w:pStyle w:val="ListParagraph"/>
        <w:numPr>
          <w:ilvl w:val="0"/>
          <w:numId w:val="2"/>
        </w:numPr>
        <w:spacing w:after="80" w:line="280"/>
      </w:pPr>
      <w:r>
        <w:rPr>
          <w:sz w:val="22"/>
          <w:szCs w:val="22"/>
        </w:rPr>
        <w:t xml:space="preserve">2024年前五大客户销售金额合计10.05亿元，占年度销售总额33.70%；第一大客户销售额5.64亿元，占18.92%。该数据来自2024年年报，年报未披露前五大客户具体名称，无法确认第一大客户具体对应电商平台、连锁药房或其他渠道；该数据不能简单等同于终端消费者集中度，具体以公司后续年报披露为准。</w:t>
      </w:r>
    </w:p>
    <w:p>
      <w:pPr>
        <w:pStyle w:val="ListParagraph"/>
        <w:numPr>
          <w:ilvl w:val="0"/>
          <w:numId w:val="2"/>
        </w:numPr>
        <w:spacing w:after="80" w:line="280"/>
      </w:pPr>
      <w:r>
        <w:rPr>
          <w:sz w:val="22"/>
          <w:szCs w:val="22"/>
        </w:rPr>
        <w:t xml:space="preserve">下游具有明显的消费医疗和零售属性。电商平台和消费者对价格较敏感，平台流量、平台费用、广告投放、品牌评价、促销力度和售后服务共同影响销售表现。</w:t>
      </w:r>
    </w:p>
    <w:p>
      <w:pPr>
        <w:pStyle w:val="ListParagraph"/>
        <w:numPr>
          <w:ilvl w:val="0"/>
          <w:numId w:val="2"/>
        </w:numPr>
        <w:spacing w:after="80" w:line="280"/>
      </w:pPr>
      <w:r>
        <w:rPr>
          <w:sz w:val="22"/>
          <w:szCs w:val="22"/>
        </w:rPr>
        <w:t xml:space="preserve">公司并非典型的强势品牌消费品企业，下游议价关系更多表现为电商平台和零售渠道的流量、价格及费用压力，而非传统医院设备销售模式下的单一招标关系。</w:t>
      </w:r>
    </w:p>
    <w:p>
      <w:pPr>
        <w:pStyle w:val="ListParagraph"/>
        <w:numPr>
          <w:ilvl w:val="0"/>
          <w:numId w:val="2"/>
        </w:numPr>
        <w:spacing w:after="80" w:line="280"/>
      </w:pPr>
      <w:r>
        <w:rPr>
          <w:sz w:val="22"/>
          <w:szCs w:val="22"/>
        </w:rPr>
        <w:t xml:space="preserve">2024年销售费用同比增长31.40%，主要与健耳听力新增门店、兴趣电商投入和品牌建设投入增加有关；健耳听力大量新店和次新店仍处于爬坡期，短期内可能对利润率形成压力。</w:t>
      </w:r>
    </w:p>
    <w:p>
      <w:pPr>
        <w:pStyle w:val="ListParagraph"/>
        <w:numPr>
          <w:ilvl w:val="0"/>
          <w:numId w:val="2"/>
        </w:numPr>
        <w:spacing w:after="80" w:line="280"/>
      </w:pPr>
      <w:r>
        <w:rPr>
          <w:sz w:val="22"/>
          <w:szCs w:val="22"/>
        </w:rPr>
        <w:t xml:space="preserve">截至2024年12月31日，应收账款3.74亿元，占总资产5.82%，约相当于2024年营业收入的12.54%；2023年末应收账款为4.74亿元。存货6.60亿元，占总资产10.27%，约相当于年度收入的22.12%；预付款项1.39亿元，应付账款3.75亿元，约相当于年度收入的12.58%。2024年经营活动现金流量净额为6.63亿元，明显高于归母净利润3.12亿元，显示销售回款和现金转化能力较好；但存货占用较明显，公司当年计提存货跌价准备，表明部分产品存在需求变化、销售价格下降或库存周转压力。应收账款占收入比例较低，主要受益于线上直销和零售渠道；库存、平台费用及营销投放费用是主要营运资金和盈利约束。</w:t>
      </w:r>
    </w:p>
    <w:p>
      <w:pPr>
        <w:pStyle w:val="ListParagraph"/>
        <w:numPr>
          <w:ilvl w:val="0"/>
          <w:numId w:val="2"/>
        </w:numPr>
        <w:spacing w:after="80" w:line="280"/>
      </w:pPr>
      <w:r>
        <w:rPr>
          <w:sz w:val="22"/>
          <w:szCs w:val="22"/>
        </w:rPr>
        <w:t xml:space="preserve">供应端方面，2024年前五大供应商采购额占年度采购总额26.54%，第一大供应商占10.57%，整体不存在对单一供应商的极端依赖。客户端方面，2024年前五大客户销售额占年度销售总额33.70%，第一大客户占18.92%；数据来自2024年年报，但未披露客户名称，未能进一步交叉判断其对应的具体渠道，不能简单等同于终端消费者集中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医疗健康类产品毛利率43.42%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约18.85%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康复辅具收入增长较快、产品结构有所改善，但健康监测和医疗护理业务仍受到疫情后需求波动影响。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医疗健康类产品毛利率40.92%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约10.14%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收入增长主要来自医疗护理和健康监测，但外购自有品牌产品、外购代理品牌产品成本增长较快；健康监测类产品毛利率下降至33.19%，压低整体盈利水平。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医疗健康类产品毛利率44.69%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约8.91%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康复辅具类毛利率提升至47.97%，呼吸支持类收入大幅增长，产品结构改善；但收入同比下降、销售费用和听力业务投入增加，净利率仍承压。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医疗健康类产品毛利率52.74%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约10.46%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康复辅具收入快速增长，康复辅具类毛利率达到61.15%，医疗护理类毛利率为54.01%，线上销售毛利率为54.86%；减少部分外购产品成本、推进自产和精益生产，带动毛利率明显提升，但健康监测和呼吸支持收入下滑、健耳听力新店扩张及兴趣电商投放推高销售费用，限制净利率进一步提升。</w:t>
            </w:r>
          </w:p>
        </w:tc>
      </w:tr>
    </w:tbl>
    <w:p>
      <w:pPr>
        <w:spacing w:before="200"/>
      </w:pPr>
    </w:p>
    <w:p>
      <w:pPr>
        <w:spacing w:after="160" w:line="300"/>
      </w:pPr>
      <w:r>
        <w:rPr>
          <w:sz w:val="22"/>
          <w:szCs w:val="22"/>
        </w:rPr>
        <w:t xml:space="preserve">公司处于家用医疗器械产业链的中游制造与下游品牌零售结合位置，不属于上游资源型企业，也不是单一设备制造商。当前利润改善主要依靠康复辅具、医疗护理等高毛利产品占比提升、自产比例增加、品牌和渠道效率改善，以及健耳听力等服务业务规模扩大；进一步提升利润率取决于高毛利品类持续增长、健康监测和呼吸支持业务恢复、成本控制和渠道效率改善，而非对上游原材料拥有强定价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20.72亿元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同比增长38.51%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同比增长20.84%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同比增长39.78%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归母净利润约0.95亿元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同比增长25.35%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同比增长37.22%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同比增长17.08%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33.87亿元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同比增长13.56%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归母净利润3.72亿元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同比增长19.20%</w:t>
            </w:r>
          </w:p>
        </w:tc>
      </w:tr>
    </w:tbl>
    <w:p>
      <w:pPr>
        <w:spacing w:after="200"/>
      </w:pPr>
      <w:r>
        <w:rPr>
          <w:i/>
          <w:iCs/>
          <w:color w:val="595959"/>
          <w:sz w:val="18"/>
          <w:szCs w:val="18"/>
        </w:rPr>
        <w:t xml:space="preserve">最新已披露财报为《2026年半年度报告》，截至2026年6月30日，披露日期为2026年8月29日。2026年上半年扣非归母净利润为1.73亿元，同比增长26.73%；经营活动产生的现金流量净额为2.62亿元，同比下降约25.3%。报告期末总资产74.57亿元，资产负债率25.41%，货币资金及交易性金融资产合计约30.62亿元。2025年度扣非归母净利润为2.98亿元，同比增长8.33%，经营活动现金流量净额为6.96亿元，同比增长4.87%。</w:t>
      </w:r>
    </w:p>
    <w:p>
      <w:pPr>
        <w:spacing w:after="160" w:line="300"/>
      </w:pPr>
      <w:r>
        <w:rPr>
          <w:sz w:val="22"/>
          <w:szCs w:val="22"/>
        </w:rPr>
        <w:t xml:space="preserve">公司2026年收入增长明显提速，主要受核心单品放量、产品结构优化及海外业务增长推动。2026年上半年综合毛利率为55.89%，较上年同期提升约3.4个百分点；康复辅具、医疗护理、健康监测、呼吸支持收入分别为7.42亿元、5.11亿元、3.03亿元和2.67亿元，其中呼吸支持同比增长166.90%，中医理疗及其他同比增长114.54%。自研呼吸机2026年第二季度销售额突破1亿元，海外业务上半年收入约2.10亿元，同比增长116.97%。但收入增速高于利润增速，主要与销售费用、渠道投放及海外业务拓展投入增加有关；上半年销售费用约7.63亿元，同比增长58.8%，经营性现金流同比下降，后续需关注营销投入回报、应收账款及现金流质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10日，同花顺汇总的近6个月机构预测显示，12家机构预测2026年业绩，11家机构预测2028年业绩。上述一致预测来自同花顺对机构研报的汇总，不是上市公司或交易所披露数据，不同机构在报告日期、假设及股本口径方面可能存在差异。代表性机构预测方面：华源证券预计2026—2028年归母净利润为4.64亿元、5.83亿元和7.12亿元，EPS为1.97元、2.47元和3.02元；太平洋证券预计归母净利润约4.68亿元、5.86亿元和7.08亿元，EPS为1.98元、2.48元和3.00元；财信证券预计归母净利润为4.58亿元、5.97亿元和7.11亿元，EPS为1.94元、2.53元和3.01元；华创证券预计归母净利润为4.7亿元、5.9亿元和7.2亿元；华泰证券预计归母净利润为4.63亿元、5.78亿元和7.15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同花顺未完整展示多机构营业收入一致预测均值；华源证券约41.88亿元，华泰证券43.20亿元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一致预测均值4.62亿元，区间4.48亿—4.73亿元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一致预测均值2.09元，区间1.90—2.26元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同花顺未完整展示多机构营业收入一致预测均值；华源证券约50.84亿元，华泰证券53.35亿元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一致预测均值5.75亿元，区间5.22亿—6.04亿元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一致预测均值2.59元，区间2.33—2.89元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同花顺未完整展示多机构营业收入一致预测均值；华源证券约59.66亿元，华泰证券64.60亿元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一致预测均值7.14亿元，区间6.66亿—7.63亿元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一致预测均值3.20元，区间2.82—3.65元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预计2026—2028年营业收入约41.88亿元、50.84亿元和59.66亿元，归母净利润4.64亿元、5.83亿元和7.12亿元，EPS为1.97元、2.47元和3.02元。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预计2026—2028年归母净利润约4.68亿元、5.86亿元和7.08亿元，EPS为1.98元、2.48元和3.00元。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预计2026—2028年归母净利润为4.58亿元、5.97亿元和7.11亿元，EPS为1.94元、2.53元和3.01元。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预计2026—2028年归母净利润为4.7亿元、5.9亿元和7.2亿元，对应PE约24倍、19倍和16倍；DCF模型测算目标价约65元。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买入/积极推荐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2026年8月29日前后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预计2026—2028年营业收入为43.20亿元、53.35亿元和64.60亿元，归母净利润为4.63亿元、5.78亿元和7.15亿元；按2026年35倍PE测算目标价约68.74元。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信达证券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此前，具体日期未披露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纪要仅说明此前维持买入评级，未披露最新盈利预测或目标价。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未说明</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较早报告，具体日期未披露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目标价53.84元；报告发布时间较早，参考价值低于2026年中报后的最新报告。</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未说明</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截至2026年9月10日前后，具体统计日期未完整披露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3名分析师12个月平均目标价约65.28元，最高74元、最低53.84元；分析师名单及统计口径未完整披露。</w:t>
            </w:r>
          </w:p>
        </w:tc>
      </w:tr>
    </w:tbl>
    <w:p>
      <w:pPr>
        <w:spacing w:before="200"/>
      </w:pPr>
    </w:p>
    <w:p>
      <w:pPr>
        <w:spacing w:after="160" w:line="300"/>
      </w:pPr>
      <w:r>
        <w:rPr>
          <w:sz w:val="22"/>
          <w:szCs w:val="22"/>
        </w:rPr>
        <w:t xml:space="preserve">截至2026年9月10日收盘价约51.70元，总市值约122亿元，市盈率TTM约30倍，市净率约2.2倍，TTM每股收益约1.95元。按同花顺一致预测EPS计算，2026—2028年预测PE分别约24.7倍、20.0倍和16.2倍；按部分券商预测，华源证券对应PE约26.2倍、20.9倍和17.1倍，太平洋证券对应PE约26.1倍、20.8倍和17.2倍，华泰证券粗略折算对应PE约26.4倍、21.1倍和17.1倍。当前静态PE约30倍，高于2026年预测PE约25—26倍；若未来两至三年能够兑现机构盈利预测，估值可能随利润增长下降至约16—20倍。已披露的主要目标价包括华创证券约65元、华泰证券约68.74元及海通国际较早报告的53.84元；以51.70元收盘价计算，对应华创、华泰目标价的潜在上涨空间约25.7%和33.0%，Investing.com平均目标价65.28元对应潜在上涨空间约26.3%。整体来看，机构评级以买入、推荐、增持为主，但当前估值不属于低估值水平，合理性取决于自研呼吸机持续放量、海外业务保持高增长、飞利浦合作落地以及销售费用率逐步改善。盈利预测和目标价均属于券商研报或第三方平台预测，不代表上市公司承诺；行情及估值数据存在平台口径差异，本纪要优先采用2026年9月10日收盘价及同日附近公开数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2026年半年度业绩保持增长</w:t>
      </w:r>
    </w:p>
    <w:p>
      <w:pPr>
        <w:spacing w:after="160" w:line="300"/>
      </w:pPr>
      <w:r>
        <w:rPr>
          <w:sz w:val="22"/>
          <w:szCs w:val="22"/>
        </w:rPr>
        <w:t xml:space="preserve">公司于2026年8月29日披露2026年半年度报告。2026年上半年实现营业收入20.72亿元，同比增长38.51%；归属于上市公司股东的净利润2.02亿元，同比增长20.84%；扣除非经常性损益后的归母净利润1.73亿元，同比增长26.73%。业务方面，呼吸支持业务收入约2.67亿元，同比增长166.90%；海外业务收入约2.10亿元，同比增长117%。截至2026年9月12日，未发现新的2026年第三季度业绩预告或业绩快报，当前最新业绩信息仍为半年度报告。</w:t>
      </w:r>
    </w:p>
    <w:p>
      <w:pPr>
        <w:pStyle w:val="Heading2"/>
        <w:spacing w:after="120" w:before="240"/>
      </w:pPr>
      <w:r>
        <w:rPr>
          <w:b/>
          <w:bCs/>
          <w:color w:val="2E74B5"/>
          <w:sz w:val="24"/>
          <w:szCs w:val="24"/>
        </w:rPr>
        <w:t xml:space="preserve">4.2 A股回购持续推进，累计回购金额约1.30亿元</w:t>
      </w:r>
    </w:p>
    <w:p>
      <w:pPr>
        <w:spacing w:after="160" w:line="300"/>
      </w:pPr>
      <w:r>
        <w:rPr>
          <w:sz w:val="22"/>
          <w:szCs w:val="22"/>
        </w:rPr>
        <w:t xml:space="preserve">公司2026年第二次A股回购方案已于2026年6月26日经董事会审议、2026年7月20日经股东会审议通过，拟使用资金不低于1亿元、不超过2亿元，回购价格上限为69.66元/股，回购股份拟全部注销并减少注册资本。截至2026年8月31日，累计回购A股股份194.29万股，占A股总股本0.93%，成交总金额约1.0194亿元；截至2026年9月1日，累计回购251.69万股，占A股总股本1.20%，成交总金额约1.3037亿元，不含交易费用。公司表示将结合市场情况继续实施回购计划。</w:t>
      </w:r>
    </w:p>
    <w:p>
      <w:pPr>
        <w:pStyle w:val="Heading2"/>
        <w:spacing w:after="120" w:before="240"/>
      </w:pPr>
      <w:r>
        <w:rPr>
          <w:b/>
          <w:bCs/>
          <w:color w:val="2E74B5"/>
          <w:sz w:val="24"/>
          <w:szCs w:val="24"/>
        </w:rPr>
        <w:t xml:space="preserve">4.3 拟将397,000股历史回购股份用途变更为注销</w:t>
      </w:r>
    </w:p>
    <w:p>
      <w:pPr>
        <w:spacing w:after="160" w:line="300"/>
      </w:pPr>
      <w:r>
        <w:rPr>
          <w:sz w:val="22"/>
          <w:szCs w:val="22"/>
        </w:rPr>
        <w:t xml:space="preserve">公司于2026年8月29日披露，拟将2022年回购方案中尚未用于员工持股计划或股权激励的397,000股A股股份用途变更为注销并减少注册资本。若注销完成，公司总股本将由235,897,000股减少至235,500,000股，注册资本相应减少。截至2026年9月12日，该事项尚需股东会审议并办理深交所及中国结算相关手续，尚未发现股份已完成注销的公告。</w:t>
      </w:r>
    </w:p>
    <w:p>
      <w:pPr>
        <w:pStyle w:val="Heading2"/>
        <w:spacing w:after="120" w:before="240"/>
      </w:pPr>
      <w:r>
        <w:rPr>
          <w:b/>
          <w:bCs/>
          <w:color w:val="2E74B5"/>
          <w:sz w:val="24"/>
          <w:szCs w:val="24"/>
        </w:rPr>
        <w:t xml:space="preserve">4.4 中期分红方案拟每10股派现6元</w:t>
      </w:r>
    </w:p>
    <w:p>
      <w:pPr>
        <w:spacing w:after="160" w:line="300"/>
      </w:pPr>
      <w:r>
        <w:rPr>
          <w:sz w:val="22"/>
          <w:szCs w:val="22"/>
        </w:rPr>
        <w:t xml:space="preserve">公司董事会于2026年8月28日审议通过2026年中期利润分配方案，拟以实施权益分派时的总股本扣除回购专用证券账户股份后的股本为基数，每10股派发现金红利6元，不送红股、不进行资本公积金转增。按2026年8月28日总股本235,897,000股、扣除回购专用证券账户股份8,767,681股测算，预计参与分红股本为227,129,319股，预计现金分红总额约1.3628亿元。该方案尚需股东会审议，最终金额将根据权益登记日实际可参与分配股份数调整。</w:t>
      </w:r>
    </w:p>
    <w:p>
      <w:pPr>
        <w:pStyle w:val="Heading2"/>
        <w:spacing w:after="120" w:before="240"/>
      </w:pPr>
      <w:r>
        <w:rPr>
          <w:b/>
          <w:bCs/>
          <w:color w:val="2E74B5"/>
          <w:sz w:val="24"/>
          <w:szCs w:val="24"/>
        </w:rPr>
        <w:t xml:space="preserve">4.5 2026年第三次临时股东会拟于9月18日召开</w:t>
      </w:r>
    </w:p>
    <w:p>
      <w:pPr>
        <w:spacing w:after="160" w:line="300"/>
      </w:pPr>
      <w:r>
        <w:rPr>
          <w:sz w:val="22"/>
          <w:szCs w:val="22"/>
        </w:rPr>
        <w:t xml:space="preserve">公司计划于2026年9月18日召开2026年第三次临时股东会，股权登记日为2026年9月11日。会议拟审议2026年中期利润分配方案、变更397,000股回购A股股份用途并注销及减少注册资本和修订公司章程、拟聘任安永会计师事务所为2026年度境外审计机构等议案。其中，回购股份注销及减少注册资本事项属于特别决议事项。截至2026年9月12日，股东会尚未召开，相关议案尚未最终落地。</w:t>
      </w:r>
    </w:p>
    <w:p>
      <w:pPr>
        <w:pStyle w:val="Heading2"/>
        <w:spacing w:after="120" w:before="240"/>
      </w:pPr>
      <w:r>
        <w:rPr>
          <w:b/>
          <w:bCs/>
          <w:color w:val="2E74B5"/>
          <w:sz w:val="24"/>
          <w:szCs w:val="24"/>
        </w:rPr>
        <w:t xml:space="preserve">4.6 控股股东及一致行动人继续增持H股</w:t>
      </w:r>
    </w:p>
    <w:p>
      <w:pPr>
        <w:spacing w:after="160" w:line="300"/>
      </w:pPr>
      <w:r>
        <w:rPr>
          <w:sz w:val="22"/>
          <w:szCs w:val="22"/>
        </w:rPr>
        <w:t xml:space="preserve">2026年7月17日，控股股东长沙械字号医疗投资有限公司通过集中竞价方式增持H股1,324,400股，增持后控股股东及其一致行动人合计持股比例由47.82%升至48.38%。2026年7月20日至7月24日，公司控股股东继续增持H股约171.67万股，合计持股比例由48.38%升至49.10%，权益变动触及1%整数倍。上述增持未改变公司控股股东及实际控制人。</w:t>
      </w:r>
    </w:p>
    <w:p>
      <w:pPr>
        <w:pStyle w:val="Heading2"/>
        <w:spacing w:after="120" w:before="240"/>
      </w:pPr>
      <w:r>
        <w:rPr>
          <w:b/>
          <w:bCs/>
          <w:color w:val="2E74B5"/>
          <w:sz w:val="24"/>
          <w:szCs w:val="24"/>
        </w:rPr>
        <w:t xml:space="preserve">4.7 获得飞利浦大中华区7个健康监测品类品牌授权</w:t>
      </w:r>
    </w:p>
    <w:p>
      <w:pPr>
        <w:spacing w:after="160" w:line="300"/>
      </w:pPr>
      <w:r>
        <w:rPr>
          <w:sz w:val="22"/>
          <w:szCs w:val="22"/>
        </w:rPr>
        <w:t xml:space="preserve">公司在2026年9月2日投资者关系活动中表示，已获得飞利浦大中华区血糖仪、血压计、持续葡萄糖监测仪、体温计、脉搏血氧仪、肺功能仪和体重秤等7个健康监测品类的品牌授权。公司称首批产品已完成注册取证及生产线建设，正在推进上市准备。该信息来自投资者关系活动记录，不等同于已实现销售收入或正式产品上市公告。</w:t>
      </w:r>
    </w:p>
    <w:p>
      <w:pPr>
        <w:pStyle w:val="Heading2"/>
        <w:spacing w:after="120" w:before="240"/>
      </w:pPr>
      <w:r>
        <w:rPr>
          <w:b/>
          <w:bCs/>
          <w:color w:val="2E74B5"/>
          <w:sz w:val="24"/>
          <w:szCs w:val="24"/>
        </w:rPr>
        <w:t xml:space="preserve">4.8 参股融昕医疗及呼吸机产品取得FDA认证</w:t>
      </w:r>
    </w:p>
    <w:p>
      <w:pPr>
        <w:spacing w:after="160" w:line="300"/>
      </w:pPr>
      <w:r>
        <w:rPr>
          <w:sz w:val="22"/>
          <w:szCs w:val="22"/>
        </w:rPr>
        <w:t xml:space="preserve">公司在2026年8月28日投资者关系活动记录中表示，已于2025年末战略参股深圳融昕医疗，持股比例为30.74%；融昕医疗家用呼吸机于2026年7月取得美国FDA 510(k)认证，公司还提到双方联名呼吸机产品及海外协同布局。截至2026年9月12日，未检索到公司在2026年8月至9月初披露新的重大股权收购、资产收购或并购重组公告。</w:t>
      </w:r>
    </w:p>
    <w:p>
      <w:pPr>
        <w:pStyle w:val="Heading2"/>
        <w:spacing w:after="120" w:before="240"/>
      </w:pPr>
      <w:r>
        <w:rPr>
          <w:b/>
          <w:bCs/>
          <w:color w:val="2E74B5"/>
          <w:sz w:val="24"/>
          <w:szCs w:val="24"/>
        </w:rPr>
        <w:t xml:space="preserve">4.9 AI研发及“可孚大模型”建设持续推进</w:t>
      </w:r>
    </w:p>
    <w:p>
      <w:pPr>
        <w:spacing w:after="160" w:line="300"/>
      </w:pPr>
      <w:r>
        <w:rPr>
          <w:sz w:val="22"/>
          <w:szCs w:val="22"/>
        </w:rPr>
        <w:t xml:space="preserve">公司在“质量回报双提升”行动方案进展公告中披露，报告期内围绕呼吸支持、健康监测、康复辅具、医疗护理和中医理疗五大领域推进产品研发、智能制造和渠道运营。公司已成立人工智能研究院，推进“可孚大模型”研发，并以呼吸机为首个应用场景完成端侧智能算法工程化验证。</w:t>
      </w:r>
    </w:p>
    <w:p>
      <w:pPr>
        <w:pStyle w:val="Heading2"/>
        <w:spacing w:after="120" w:before="240"/>
      </w:pPr>
      <w:r>
        <w:rPr>
          <w:b/>
          <w:bCs/>
          <w:color w:val="2E74B5"/>
          <w:sz w:val="24"/>
          <w:szCs w:val="24"/>
        </w:rPr>
        <w:t xml:space="preserve">4.10 近期未发现重大监管处罚或问询事项</w:t>
      </w:r>
    </w:p>
    <w:p>
      <w:pPr>
        <w:spacing w:after="160" w:line="300"/>
      </w:pPr>
      <w:r>
        <w:rPr>
          <w:sz w:val="22"/>
          <w:szCs w:val="22"/>
        </w:rPr>
        <w:t xml:space="preserve">截至2026年9月12日，未检索到公司在2026年8月至9月初收到中国证监会行政处罚、深交所纪律处分、监管警示、问询函或关注函的公告。该结论基于公司公告列表、巨潮资讯网及公开媒体公告数据库检索，受公开披露时点影响，不能排除后续新公告或非公告渠道信息的时滞。</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52.77元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+2.07%，较前一交易日上涨1.07元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51.38元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53.51元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50.58元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约363万股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约1.91亿元，按收盘价和成交量估算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2026年9月11日最终值未获得可交叉核实数据；9月10日为1.69%，9月4日为2.14%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约2.36亿股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按52.77元收盘价估算约124.5亿元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动态/滚动市盈率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约30倍；不同来源显示约30.00倍至30.1倍，随股价及盈利口径变化</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6月26日收盘43.46元，9月11日收盘52.77元；9月2日收盘47.05元反弹至9月11日52.77元，累计上涨约12.1%；7月24日阶段高点55.20元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近期呈现快速反弹后高位震荡特征，当前价格重新接近7月阶段高位压力区，较55.20元仍低约4.4%</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截至2026年9月10日，52周最高63.99元、最低37.70元；另一来源于8月28日显示最高62.69元、最低36.93元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不同来源存在复权口径、统计时点或数据更新差异；当前股价处于52周区间中上部，具体高低点建议以后续授权行情终端或券商终端确认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MA5约52.08元，MA10约50.74元，MA20约50.09元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收盘价52.77元高于三条均线，且MA5高于MA10、MA10略高于MA20，短周期趋势偏强；但价格接近布林带上轨及前期高点，继续上行需要量能配合</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截至2026年9月11日未获得可交叉验证的DIF、DEA及MACD柱值；精确指标数据缺失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根据价格序列和均线结构判断，9月2日急跌后短线方向大概率由弱转强或处于修复阶段，但无法确认已形成稳定的零轴上方金叉；若跌破50元附近且放量，修复失败风险上升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RSI6约87；RSI14约68附近，接近70的传统强势/超买分界线但尚未明确超过70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短线动能较强但已明显偏热，9月4日大涨后继续追涨的风险高于反弹初期，冲高后出现震荡消化的可能性上升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中轨约50.09元，上轨约53.46元，下轨约46.72元；9月11日收盘52.77元，盘中最高53.51元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股价位于布林带中上部并接近上轨，短期趋势偏强但需要量能确认；若在53.5元附近受阻，可能回踩50.5~51.5元区域；放量突破53.5元并进一步突破55.2元，布林带可能继续向上扩张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9月1日净流出约4432万元，9月2日净流出约4963万元，9月3日净流入约1379万元，9月4日净流入约4138万元；截至9月7日统计的近5个交易日总体净流出约5474万元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9月4日上涨伴随主力资金净流入，反弹并非完全无量反抽；但近期5日资金合计仍偏流出，尚未形成持续、稳定的单边净流入结构。9月11日主力资金精确数据未获两个独立来源交叉核验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9月1日至9月10日成交额约0.887亿~2.14亿元、换手率约0.94%~2.25%；9月11日成交额估算约1.9亿元，换手率最终值缺失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近期日成交额大多在0.9亿~2.1亿元之间，2亿元以上通常对应明显价格波动或方向选择；9月11日量能较9月8日至9月9日恢复，但尚未显著超过9月4日放量水平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A股股东户数15,225户；前十大股东持股约1.59亿股，占总股本约67.46%；同花顺数据显示253家主力机构持股约1.219亿股，占流通A股约62.86%，其中包括247家基金、一般法人、基本养老保险基金及阳光私募等</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集中度较高，控股股东及关联方持股占比较高，同时存在基金、养老保险基金及私募等机构持仓。上述数据截至6月30日且存在季度滞后，不能等同于2026年9月11日实时筹码结构；机构调仓或减仓可能带来阶段性价格压力</w:t>
            </w:r>
          </w:p>
        </w:tc>
      </w:tr>
    </w:tbl>
    <w:p>
      <w:pPr>
        <w:spacing w:before="200"/>
      </w:pPr>
    </w:p>
    <w:p>
      <w:pPr>
        <w:spacing w:after="160" w:line="300"/>
      </w:pPr>
      <w:r>
        <w:rPr>
          <w:sz w:val="22"/>
          <w:szCs w:val="22"/>
        </w:rPr>
        <w:t xml:space="preserve">可孚医疗近期股价在9月2日回落至47.05元后快速反弹，9月11日收于52.77元，重新接近7月阶段高位及布林带上轨。均线结构显示短线趋势偏强，但RSI6约87、RSI14约68，说明短线动能偏热，冲高后震荡消化风险上升。资金方面，9月3日至9月4日主力资金转为净流入，但截至9月7日近5个交易日资金总体仍净流出，资金面尚未形成稳定单边改善。后续技术观察重点在于53.5~55.2元压力区能否伴随成交额放大有效突破，以及50.7~51.5元和49.5~50.1元支撑区能否获得承接。</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53.5~55.2元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依据9月11日盘中高点53.51元、布林带上轨约53.46元及7月24日阶段高点55.20元。若有效突破55.2元，可能打开进一步测试52周高点附近的空间，但需要明显量能配合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50.7~51.5元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主要对应MA10约50.74元、近期主力成本区约49.79~51.31元及9月10日至9月11日短线交易密集区域。若失守，短线反弹结构将明显转弱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49.5~50.1元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主要对应MA20约50.09元、9月初反弹后的筹码密集区及近期市场均价附近。若有效跌破，下一步可能回踩46.4~47.2元一带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学概率）：价格区间约50.5~54.0元。触发条件为股价在53.5元附近遇压，但50.7~51.5元获得承接，成交额维持约1.0亿~2.0亿元。该情景对应快速上涨后的技术消化，股价可能在布林带上轨附近反复震荡</w:t>
      </w:r>
    </w:p>
    <w:p>
      <w:pPr>
        <w:pStyle w:val="ListParagraph"/>
        <w:numPr>
          <w:ilvl w:val="0"/>
          <w:numId w:val="2"/>
        </w:numPr>
        <w:spacing w:after="80" w:line="280"/>
      </w:pPr>
      <w:r>
        <w:rPr>
          <w:sz w:val="22"/>
          <w:szCs w:val="22"/>
        </w:rPr>
        <w:t xml:space="preserve">反弹走强（主观启发式权重中等，约三成；不是统计学概率）：价格区间约53.5~56.0元。触发条件为放量站上53.5元，并进一步突破55.2元，同时单日成交额明显超过近期常态。若仅盘中突破但收盘重新跌回53.5元下方，则不构成有效突破确认</w:t>
      </w:r>
    </w:p>
    <w:p>
      <w:pPr>
        <w:pStyle w:val="ListParagraph"/>
        <w:numPr>
          <w:ilvl w:val="0"/>
          <w:numId w:val="2"/>
        </w:numPr>
        <w:spacing w:after="80" w:line="280"/>
      </w:pPr>
      <w:r>
        <w:rPr>
          <w:sz w:val="22"/>
          <w:szCs w:val="22"/>
        </w:rPr>
        <w:t xml:space="preserve">偏弱回落（主观启发式权重偏低至中等，约两成；不是统计学概率）：价格区间约47.0~50.5元。触发条件为跌破50.7~51.5元第一支撑，并伴随成交额放大、主力资金继续净流出或创业板/医疗器械板块同步走弱。若进一步失守49.5~50.1元强支撑，回踩46.4~47.2元区间的可能性上升</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主要处于约0.9%~2.3%，成交额主要在0.9亿~2.1亿元之间；9月4日成交额约2.12亿元，9月11日估算约1.9亿元，均高于部分低量交易日。2026年6月30日数据显示，前十大股东持股约占总股本67.46%，253家主力机构持股约占流通A股62.86%，但该数据存在季度滞后，且9月期间股价已发生较大波动，当前筹码结构可能已经变化。实际观察上，筹码集中度较高并不等于实时流动性充裕，机构调仓或控股股东及关联方持股变化可能影响阶段性供需；本纪要未提供更细化的盘口深度和实时订单数据，因此无法进一步判断具体滑点水平。</w:t>
      </w:r>
    </w:p>
    <w:p>
      <w:pPr>
        <w:spacing w:after="160" w:line="300"/>
      </w:pPr>
      <w:r>
        <w:rPr>
          <w:sz w:val="22"/>
          <w:szCs w:val="22"/>
        </w:rPr>
        <w:t xml:space="preserve">若股价有效突破53.5元，且单日成交额连续放大至2.2亿元以上、换手率达到约2.2%或更高，同时收盘价站稳53.5元上方，可作为短线资金参与度增强的可检查信号；若放量但收盘重新跌回53.5元下方，则需关注冲高回落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观察思路，非操作指令：关注53.5~55.2元压力区能否在成交额放大配合下有效突破。</w:t>
      </w:r>
    </w:p>
    <w:p>
      <w:pPr>
        <w:pStyle w:val="ListParagraph"/>
        <w:numPr>
          <w:ilvl w:val="0"/>
          <w:numId w:val="2"/>
        </w:numPr>
        <w:spacing w:after="80" w:line="280"/>
      </w:pPr>
      <w:r>
        <w:rPr>
          <w:sz w:val="22"/>
          <w:szCs w:val="22"/>
        </w:rPr>
        <w:t xml:space="preserve">观察思路，非操作指令：关注50.7~51.5元第一支撑区是否出现缩量承接，以及49.5~50.1元强支撑是否失守。</w:t>
      </w:r>
    </w:p>
    <w:p>
      <w:pPr>
        <w:pStyle w:val="ListParagraph"/>
        <w:numPr>
          <w:ilvl w:val="0"/>
          <w:numId w:val="2"/>
        </w:numPr>
        <w:spacing w:after="80" w:line="280"/>
      </w:pPr>
      <w:r>
        <w:rPr>
          <w:sz w:val="22"/>
          <w:szCs w:val="22"/>
        </w:rPr>
        <w:t xml:space="preserve">观察思路，非操作指令：若跌破强支撑，观察价格是否向46.4~47.2元区间回撤。</w:t>
      </w:r>
    </w:p>
    <w:p>
      <w:pPr>
        <w:pStyle w:val="ListParagraph"/>
        <w:numPr>
          <w:ilvl w:val="0"/>
          <w:numId w:val="2"/>
        </w:numPr>
        <w:spacing w:after="80" w:line="280"/>
      </w:pPr>
      <w:r>
        <w:rPr>
          <w:sz w:val="22"/>
          <w:szCs w:val="22"/>
        </w:rPr>
        <w:t xml:space="preserve">观察思路，非操作指令：重点观察成交额能否连续超过2.2亿元，并与收盘价突破53.5元形成量价配合；同时留意RSI6约87所提示的短线偏热状态。</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可孚医疗所属大行业为医疗器械，核心细分方向包括家用医疗器械、健康监测、康复辅具、呼吸支持和医疗护理。行业需求受到老龄化、慢性病管理、居家康复和家庭健康管理需求推动；产品细分程度高，不同品类在技术门槛、注册要求和消费场景上存在差异。家用医疗器械通常由消费者或家庭成员直接购买，品牌信任、平台评价、价格、使用便利性和售后服务对销量影响较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行业呈现“综合型龙头＋细分赛道龙头＋大量白牌企业”并存格局，尚不存在覆盖所有细分品类的单一企业全面垄断。</w:t>
      </w:r>
    </w:p>
    <w:p>
      <w:pPr>
        <w:pStyle w:val="ListParagraph"/>
        <w:numPr>
          <w:ilvl w:val="0"/>
          <w:numId w:val="2"/>
        </w:numPr>
        <w:spacing w:after="80" w:line="280"/>
      </w:pPr>
      <w:r>
        <w:rPr>
          <w:sz w:val="22"/>
          <w:szCs w:val="22"/>
        </w:rPr>
        <w:t xml:space="preserve">鱼跃医疗在家用医疗器械综合规模、品牌和渠道方面更强；可孚医疗在电商运营、康复辅具、医疗护理和多品类零售方面具有特色。</w:t>
      </w:r>
    </w:p>
    <w:p>
      <w:pPr>
        <w:pStyle w:val="ListParagraph"/>
        <w:numPr>
          <w:ilvl w:val="0"/>
          <w:numId w:val="2"/>
        </w:numPr>
        <w:spacing w:after="80" w:line="280"/>
      </w:pPr>
      <w:r>
        <w:rPr>
          <w:sz w:val="22"/>
          <w:szCs w:val="22"/>
        </w:rPr>
        <w:t xml:space="preserve">九安医疗、三诺生物、怡和嘉业、康泰医学分别在家用电子健康产品、血糖监测、家用呼吸和健康监测设备等细分赛道形成竞争。</w:t>
      </w:r>
    </w:p>
    <w:p>
      <w:pPr>
        <w:pStyle w:val="ListParagraph"/>
        <w:numPr>
          <w:ilvl w:val="0"/>
          <w:numId w:val="2"/>
        </w:numPr>
        <w:spacing w:after="80" w:line="280"/>
      </w:pPr>
      <w:r>
        <w:rPr>
          <w:sz w:val="22"/>
          <w:szCs w:val="22"/>
        </w:rPr>
        <w:t xml:space="preserve">线上渠道竞争激烈。可孚医疗2024年线上收入占比66.73%，线上渠道是公司核心优势，但也带来平台服务费、广告费、流量投放和价格竞争压力。</w:t>
      </w:r>
    </w:p>
    <w:p>
      <w:pPr>
        <w:pStyle w:val="ListParagraph"/>
        <w:numPr>
          <w:ilvl w:val="0"/>
          <w:numId w:val="2"/>
        </w:numPr>
        <w:spacing w:after="80" w:line="280"/>
      </w:pPr>
      <w:r>
        <w:rPr>
          <w:sz w:val="22"/>
          <w:szCs w:val="22"/>
        </w:rPr>
        <w:t xml:space="preserve">公司2024年销售费用同比增长31.40%，主要与健耳听力新增门店、兴趣电商投入和品牌建设投入增加有关。</w:t>
      </w:r>
    </w:p>
    <w:p>
      <w:pPr>
        <w:pStyle w:val="ListParagraph"/>
        <w:numPr>
          <w:ilvl w:val="0"/>
          <w:numId w:val="2"/>
        </w:numPr>
        <w:spacing w:after="80" w:line="280"/>
      </w:pPr>
      <w:r>
        <w:rPr>
          <w:sz w:val="22"/>
          <w:szCs w:val="22"/>
        </w:rPr>
        <w:t xml:space="preserve">公司2024年医疗健康类产品销售量约2.07亿台/张/盒/支/个，生产量约2.09亿台/张/盒/支/个，库存量约5154万台/张/盒/支/个。由于计量单位混合，不能直接用于不同产品之间的产能比较；公司未披露各生产基地按产品划分的设计产能、产能利用率和在手订单。</w:t>
      </w:r>
    </w:p>
    <w:p>
      <w:pPr>
        <w:pStyle w:val="ListParagraph"/>
        <w:numPr>
          <w:ilvl w:val="0"/>
          <w:numId w:val="2"/>
        </w:numPr>
        <w:spacing w:after="80" w:line="280"/>
      </w:pPr>
      <w:r>
        <w:rPr>
          <w:sz w:val="22"/>
          <w:szCs w:val="22"/>
        </w:rPr>
        <w:t xml:space="preserve">截至2025年12月31日，公司官网披露设有4个生产基地、3个研究院、99家子公司和640家分公司；该口径与2024年年报披露的生产基地及分支机构口径可能存在统计范围变化，不能直接进行无差异比较。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鱼跃医疗（002223.SZ）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综合型家用及临床医疗器械企业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覆盖呼吸治疗、血糖管理及POCT、家用健康检测、临床器械及康复、急救解决方案等，品牌、规模、线下医疗器械渠道和海外收入规模强于可孚医疗；可孚更偏向电商零售、康复辅具、医疗护理和多品类家庭健康产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九安医疗（002432.SZ）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家用电子健康产品、家庭自测及健康物联网企业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包括血压计、血糖仪、血氧仪、体温计、体重秤和家用检测试剂等，优势在于家用电子产品、海外市场、电商运营和“硬件＋App＋云平台”模式；可孚在康复辅具、医疗护理、听力服务和线下药房渠道方面更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三诺生物（300298.SZ）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血糖监测及慢性病快速检测企业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产品包括血糖仪、血糖试纸、连续血糖监测及其他慢性病快速检测产品，并向糖尿病管理和数字健康服务延伸；其在血糖监测领域的专业化程度和渠道覆盖能力较强，可孚健康监测业务的专业深度和慢病管理体系相对较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怡和嘉业（301367.SZ）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家用呼吸诊疗产品及耗材企业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心产品包括睡眠呼吸机、呼吸面罩及相关耗材；2024年家用呼吸诊疗产品收入5.27亿元，占营业收入62.52%，耗材收入2.84亿元，占33.72%。其在家用呼吸机、睡眠呼吸障碍治疗和耗材领域专业化程度较高，可孚产品覆盖范围更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康泰医学（300869.SZ）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医疗诊断、监护设备及家用健康产品企业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血氧、心电、超声、监护、血压、分析测试以及家用健康产品，并布局家用制氧机、雾化器、睡眠呼吸监测仪、血压计和血糖产品；其更偏向院线设备、家用健康监测和监护产品，可孚更偏向消费医疗零售、康复辅具、医疗护理和电商渠道。</w:t>
            </w:r>
          </w:p>
        </w:tc>
      </w:tr>
    </w:tbl>
    <w:p>
      <w:pPr>
        <w:spacing w:before="200"/>
      </w:pPr>
    </w:p>
    <w:p>
      <w:pPr>
        <w:spacing w:after="160" w:line="300"/>
      </w:pPr>
      <w:r>
        <w:rPr>
          <w:sz w:val="22"/>
          <w:szCs w:val="22"/>
        </w:rPr>
        <w:t xml:space="preserve">可孚医疗与上述公司存在部分业务重叠，但并非完全同质化竞争。相较鱼跃医疗的综合规模和品牌渠道优势、九安医疗的海外家用电子与智能健康优势、三诺生物的血糖监测专业化优势、怡和嘉业的家用呼吸专业化优势以及康泰医学的院线设备和监护产品布局，可孚医疗的差异化主要体现在康复辅具、医疗护理、多品类家庭健康产品、电商零售运营、连锁药房渠道和听力服务。其竞争力和利润弹性取决于高毛利品类扩张、自产比例提升、线上渠道效率改善及服务业务规模化，同时面临线上流量与价格竞争、库存占用、健康监测和呼吸支持业务波动以及听力门店扩张期费用压力。</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呼吸支持业务高增长的持续性存在不确定性。2026年上半年呼吸支持收入同比增长166.90%，自研呼吸机单季销售额突破1亿元，但高增长基数和新品放量能否延续仍需后续财报验证，若销售不及预期，可能影响整体收入增速和产品结构改善。</w:t>
      </w:r>
    </w:p>
    <w:p>
      <w:pPr>
        <w:pStyle w:val="ListParagraph"/>
        <w:numPr>
          <w:ilvl w:val="0"/>
          <w:numId w:val="2"/>
        </w:numPr>
        <w:spacing w:after="80" w:line="280"/>
      </w:pPr>
      <w:r>
        <w:rPr>
          <w:sz w:val="22"/>
          <w:szCs w:val="22"/>
        </w:rPr>
        <w:t xml:space="preserve">销售费用增长明显快于收入增长。2026年上半年销售费用约7.63亿元，同比增长58.8%，健耳听力新增门店、兴趣电商投放及品牌建设投入可能继续压制净利率；若流量投放、门店爬坡或海外拓展的回报不足，利润增速可能持续低于收入增速。</w:t>
      </w:r>
    </w:p>
    <w:p>
      <w:pPr>
        <w:pStyle w:val="ListParagraph"/>
        <w:numPr>
          <w:ilvl w:val="0"/>
          <w:numId w:val="2"/>
        </w:numPr>
        <w:spacing w:after="80" w:line="280"/>
      </w:pPr>
      <w:r>
        <w:rPr>
          <w:sz w:val="22"/>
          <w:szCs w:val="22"/>
        </w:rPr>
        <w:t xml:space="preserve">经营现金流出现弱化。2026年上半年经营活动现金流量净额为2.62亿元，同比下降约25.3%，而公司仍需承担渠道投放、海外业务拓展和库存周转等资金需求，后续需关注收入增长能否转化为稳定现金回款。</w:t>
      </w:r>
    </w:p>
    <w:p>
      <w:pPr>
        <w:pStyle w:val="ListParagraph"/>
        <w:numPr>
          <w:ilvl w:val="0"/>
          <w:numId w:val="2"/>
        </w:numPr>
        <w:spacing w:after="80" w:line="280"/>
      </w:pPr>
      <w:r>
        <w:rPr>
          <w:sz w:val="22"/>
          <w:szCs w:val="22"/>
        </w:rPr>
        <w:t xml:space="preserve">公司线上销售依赖度较高，2024年线上产品销售收入占营业收入66.73%。电商平台流量、平台费用、广告投放、促销力度和价格竞争可能影响销售规模与毛利率；若平台获客成本上升，康复辅具和医疗护理等高毛利业务的利润优势可能被部分抵消。</w:t>
      </w:r>
    </w:p>
    <w:p>
      <w:pPr>
        <w:pStyle w:val="ListParagraph"/>
        <w:numPr>
          <w:ilvl w:val="0"/>
          <w:numId w:val="2"/>
        </w:numPr>
        <w:spacing w:after="80" w:line="280"/>
      </w:pPr>
      <w:r>
        <w:rPr>
          <w:sz w:val="22"/>
          <w:szCs w:val="22"/>
        </w:rPr>
        <w:t xml:space="preserve">库存及产品需求变化可能带来减值压力。截至2024年末存货为6.60亿元，占总资产10.27%、约相当于年度收入22.12%，且当年已计提存货跌价准备。若健康监测、呼吸支持或其他产品需求变化、销售价格下降或周转放缓，可能进一步影响资产质量和盈利。</w:t>
      </w:r>
    </w:p>
    <w:p>
      <w:pPr>
        <w:pStyle w:val="ListParagraph"/>
        <w:numPr>
          <w:ilvl w:val="0"/>
          <w:numId w:val="2"/>
        </w:numPr>
        <w:spacing w:after="80" w:line="280"/>
      </w:pPr>
      <w:r>
        <w:rPr>
          <w:sz w:val="22"/>
          <w:szCs w:val="22"/>
        </w:rPr>
        <w:t xml:space="preserve">海外业务仍处于扩张阶段，虽然2026年上半年海外收入约2.10亿元、同比增长116.97%，但2024年境外收入占比仅1.98%。海外市场拓展、产品认证、渠道建设及本地化投入可能带来较高费用和执行要求，收入增长尚不能直接等同于海外业务盈利能力成熟。</w:t>
      </w:r>
    </w:p>
    <w:p>
      <w:pPr>
        <w:pStyle w:val="ListParagraph"/>
        <w:numPr>
          <w:ilvl w:val="0"/>
          <w:numId w:val="2"/>
        </w:numPr>
        <w:spacing w:after="80" w:line="280"/>
      </w:pPr>
      <w:r>
        <w:rPr>
          <w:sz w:val="22"/>
          <w:szCs w:val="22"/>
        </w:rPr>
        <w:t xml:space="preserve">飞利浦品牌授权及融昕医疗合作尚未完全转化为经营成果。公司已获得飞利浦大中华区7个健康监测品类授权，融昕医疗家用呼吸机取得美国FDA 510(k)认证，但首批产品仍处于上市准备等阶段，实际销售规模、利润贡献及协同效果存在不确定性。</w:t>
      </w:r>
    </w:p>
    <w:p>
      <w:pPr>
        <w:pStyle w:val="ListParagraph"/>
        <w:numPr>
          <w:ilvl w:val="0"/>
          <w:numId w:val="2"/>
        </w:numPr>
        <w:spacing w:after="80" w:line="280"/>
      </w:pPr>
      <w:r>
        <w:rPr>
          <w:sz w:val="22"/>
          <w:szCs w:val="22"/>
        </w:rPr>
        <w:t xml:space="preserve">公司客户和渠道存在一定集中度及议价压力。2024年前五大客户销售额占年度销售总额33.70%，第一大客户占18.92%，且年报未披露具体客户名称；若主要平台或渠道调整流量、费用或采购政策，可能对公司销售和盈利造成阶段性影响。</w:t>
      </w:r>
    </w:p>
    <w:p>
      <w:pPr>
        <w:pStyle w:val="ListParagraph"/>
        <w:numPr>
          <w:ilvl w:val="0"/>
          <w:numId w:val="2"/>
        </w:numPr>
        <w:spacing w:after="80" w:line="280"/>
      </w:pPr>
      <w:r>
        <w:rPr>
          <w:sz w:val="22"/>
          <w:szCs w:val="22"/>
        </w:rPr>
        <w:t xml:space="preserve">当前股价及估值对业绩兑现存在较高要求。截至2026年9月11日股价为52.77元、滚动市盈率约30倍，技术指标显示RSI6约87且股价接近53.5—55.2元压力区；若后续业绩、现金流或资金面不及预期，可能出现估值消化和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处于收入增长提速和产品结构升级阶段，康复辅具、医疗护理仍构成相对稳定的业务基础，呼吸支持、自研呼吸机、海外市场及飞利浦品牌授权则提供新的增长空间。2025年度收入和归母净利润分别增长13.56%和19.20%，2026年上半年增长进一步加快，若核心单品放量和海外业务延续高增，收入与利润规模仍具扩张潜力。</w:t>
      </w:r>
    </w:p>
    <w:p>
      <w:pPr>
        <w:spacing w:after="160" w:line="300"/>
      </w:pPr>
      <w:r>
        <w:rPr>
          <w:sz w:val="22"/>
          <w:szCs w:val="22"/>
        </w:rPr>
        <w:t xml:space="preserve">增长质量仍需关注投入产出匹配。2026年上半年销售费用增速显著高于收入增速，经营现金流同比下降，说明渠道投放、门店扩张和海外业务培育尚未完全转化为利润及现金回报；同时，公司线上销售占比较高，面临平台流量、广告投放、价格竞争及售后服务压力。机构对2026—2028年归母净利润保持约24%的增长预期，但这些预测来自券商或第三方汇总，并非公司业绩承诺。</w:t>
      </w:r>
    </w:p>
    <w:p>
      <w:pPr>
        <w:spacing w:after="160" w:line="300"/>
      </w:pPr>
      <w:r>
        <w:rPr>
          <w:sz w:val="22"/>
          <w:szCs w:val="22"/>
        </w:rPr>
        <w:t xml:space="preserve">估值层面，按2026年9月11日收盘价计算，公司市值约124.5亿元、滚动市盈率约30倍，高于机构预测对应的2026年约25—26倍市盈率。技术上股价接近前期高点和布林带上轨，后续需要观察53.5—55.2元压力区的量价表现，以及50.7—51.5元和49.5—50.1元支撑区域的承接情况；这些因素将共同反映市场对公司业绩兑现度和估值消化能力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可孚医疗(301087)_公司公告_可孚医疗：2026年半年度报告新浪财经_新浪网 — https://money.finance.sina.com.cn/corp/view/vCB_AllBulletinDetail.php?id=12567703&amp;stockid=301087&amp;utm_source=openai</w:t>
      </w:r>
    </w:p>
    <w:p>
      <w:pPr>
        <w:spacing w:after="200"/>
      </w:pPr>
      <w:r>
        <w:rPr>
          <w:i/>
          <w:iCs/>
          <w:color w:val="595959"/>
          <w:sz w:val="18"/>
          <w:szCs w:val="18"/>
        </w:rPr>
        <w:t xml:space="preserve">https://static.cninfo.com.cn/finalpage/2026-08-29/1225525772.PDF — https://static.cninfo.com.cn/finalpage/2026-08-29/1225525772.PDF</w:t>
      </w:r>
    </w:p>
    <w:p>
      <w:pPr>
        <w:spacing w:after="200"/>
      </w:pPr>
      <w:r>
        <w:rPr>
          <w:i/>
          <w:iCs/>
          <w:color w:val="595959"/>
          <w:sz w:val="18"/>
          <w:szCs w:val="18"/>
        </w:rPr>
        <w:t xml:space="preserve">可孚医疗：上半年营收净利双增 海外业务快速增长 — https://www.cs.com.cn/ssgs/01/2026/08/28/detail_2026082810035374.html?utm_source=openai</w:t>
      </w:r>
    </w:p>
    <w:p>
      <w:pPr>
        <w:spacing w:after="200"/>
      </w:pPr>
      <w:r>
        <w:rPr>
          <w:i/>
          <w:iCs/>
          <w:color w:val="595959"/>
          <w:sz w:val="18"/>
          <w:szCs w:val="18"/>
        </w:rPr>
        <w:t xml:space="preserve">证券代码：301087  证券简称：可孚医疗  公告编号：2026-065 — https://disc.static.szse.cn/disc/disk03/finalpage/2026-06-27/ae2619f3-6999-42b8-a1f6-4bd464b4d2b1.PDF?utm_source=openai</w:t>
      </w:r>
    </w:p>
    <w:p>
      <w:pPr>
        <w:spacing w:after="200"/>
      </w:pPr>
      <w:r>
        <w:rPr>
          <w:i/>
          <w:iCs/>
          <w:color w:val="595959"/>
          <w:sz w:val="18"/>
          <w:szCs w:val="18"/>
        </w:rPr>
        <w:t xml:space="preserve">公司公告_可孚医疗：关于回购公司A股股份比例达到1%暨回购进展公告新浪财经_新浪网 — https://vip.stock.finance.sina.com.cn/corp/view/vCB_AllBulletinDetail.php?id=12581089&amp;stockid=</w:t>
      </w:r>
    </w:p>
    <w:p>
      <w:pPr>
        <w:spacing w:after="200"/>
      </w:pPr>
      <w:r>
        <w:rPr>
          <w:i/>
          <w:iCs/>
          <w:color w:val="595959"/>
          <w:sz w:val="18"/>
          <w:szCs w:val="18"/>
        </w:rPr>
        <w:t xml:space="preserve">证券代码：301087  证券简称：可孚医疗  公告编号：2026-085 — https://static.cninfo.com.cn/finalpage/2026-08-29/1225532728.PDF?utm_source=openai</w:t>
      </w:r>
    </w:p>
    <w:p>
      <w:pPr>
        <w:spacing w:after="200"/>
      </w:pPr>
      <w:r>
        <w:rPr>
          <w:i/>
          <w:iCs/>
          <w:color w:val="595959"/>
          <w:sz w:val="18"/>
          <w:szCs w:val="18"/>
        </w:rPr>
        <w:t xml:space="preserve">https://static.cninfo.com.cn/finalpage/2026-08-29/1225532727.PDF — https://static.cninfo.com.cn/finalpage/2026-08-29/1225532727.PDF</w:t>
      </w:r>
    </w:p>
    <w:p>
      <w:pPr>
        <w:spacing w:after="200"/>
      </w:pPr>
      <w:r>
        <w:rPr>
          <w:i/>
          <w:iCs/>
          <w:color w:val="595959"/>
          <w:sz w:val="18"/>
          <w:szCs w:val="18"/>
        </w:rPr>
        <w:t xml:space="preserve">https://static.cninfo.com.cn/finalpage/2026-08-29/1225525771.PDF — https://static.cninfo.com.cn/finalpage/2026-08-29/1225525771.PDF</w:t>
      </w:r>
    </w:p>
    <w:p>
      <w:pPr>
        <w:spacing w:after="200"/>
      </w:pPr>
      <w:r>
        <w:rPr>
          <w:i/>
          <w:iCs/>
          <w:color w:val="595959"/>
          <w:sz w:val="18"/>
          <w:szCs w:val="18"/>
        </w:rPr>
        <w:t xml:space="preserve">可孚医疗: 关于控股股东及其一致行动人权益变动触及1%整数倍的公告内容摘要_公告简述_数据解析_股票_证券之星 — https://wap.stockstar.com/detail/AN2026072100000580</w:t>
      </w:r>
    </w:p>
    <w:p>
      <w:pPr>
        <w:spacing w:after="200"/>
      </w:pPr>
      <w:r>
        <w:rPr>
          <w:i/>
          <w:iCs/>
          <w:color w:val="595959"/>
          <w:sz w:val="18"/>
          <w:szCs w:val="18"/>
        </w:rPr>
        <w:t xml:space="preserve">可孚医疗：控股股东及其一致行动人合计持股升至49.10%_7x24小时财经新闻_新浪网 — https://finance.sina.com.cn/7x24/2026-07-27/doc-inikfxcf0688886.shtml</w:t>
      </w:r>
    </w:p>
    <w:p>
      <w:pPr>
        <w:spacing w:after="200"/>
      </w:pPr>
      <w:r>
        <w:rPr>
          <w:i/>
          <w:iCs/>
          <w:color w:val="595959"/>
          <w:sz w:val="18"/>
          <w:szCs w:val="18"/>
        </w:rPr>
        <w:t xml:space="preserve">可孚医疗(301087)_公司公告_可孚医疗：2026年9月2日投资者关系活动记录表新浪财经_新浪网 — https://vip.stock.finance.sina.com.cn/corp/view/vCB_AllBulletinDetail.php?id=12581056&amp;stockid=301087&amp;utm_source=openai</w:t>
      </w:r>
    </w:p>
    <w:p>
      <w:pPr>
        <w:spacing w:after="200"/>
      </w:pPr>
      <w:r>
        <w:rPr>
          <w:i/>
          <w:iCs/>
          <w:color w:val="595959"/>
          <w:sz w:val="18"/>
          <w:szCs w:val="18"/>
        </w:rPr>
        <w:t xml:space="preserve">可孚医疗(301087)_公司公告_可孚医疗：2026年8月28日投资者关系活动记录表新浪财经_新浪网 — https://money.finance.sina.com.cn/corp/view/vCB_AllBulletinDetail.php?id=12575240&amp;stockid=301087&amp;utm_source=openai</w:t>
      </w:r>
    </w:p>
    <w:p>
      <w:pPr>
        <w:spacing w:after="200"/>
      </w:pPr>
      <w:r>
        <w:rPr>
          <w:i/>
          <w:iCs/>
          <w:color w:val="595959"/>
          <w:sz w:val="18"/>
          <w:szCs w:val="18"/>
        </w:rPr>
        <w:t xml:space="preserve">可孚医疗(301087)公司公告_新浪财经_新浪网 — https://money.finance.sina.com.cn/corp/go.php/vCB_AllBulletin/stockid/301087.phtml?utm_source=openai</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可孚医疗(301087)股票历史数据:历史行情,价格,走势图表_英为财情Investing.com — https://cn.investing.com/equities/cofoe-medical-technology-historical-data?utm_source=openai</w:t>
      </w:r>
    </w:p>
    <w:p>
      <w:pPr>
        <w:spacing w:after="200"/>
      </w:pPr>
      <w:r>
        <w:rPr>
          <w:i/>
          <w:iCs/>
          <w:color w:val="595959"/>
          <w:sz w:val="18"/>
          <w:szCs w:val="18"/>
        </w:rPr>
        <w:t xml:space="preserve">可孚医疗 (301087) - 历史交易数据 | 打板客网 — https://dabanke.com/hangqing-301087.html</w:t>
      </w:r>
    </w:p>
    <w:p>
      <w:pPr>
        <w:spacing w:after="200"/>
      </w:pPr>
      <w:r>
        <w:rPr>
          <w:i/>
          <w:iCs/>
          <w:color w:val="595959"/>
          <w:sz w:val="18"/>
          <w:szCs w:val="18"/>
        </w:rPr>
        <w:t xml:space="preserve">集友银行 — https://content5.etninfo.com/content/cyuwebV2/asharecontent/sc/ashare_quote.php?code=301087&amp;utm_source=openai</w:t>
      </w:r>
    </w:p>
    <w:p>
      <w:pPr>
        <w:spacing w:after="200"/>
      </w:pPr>
      <w:r>
        <w:rPr>
          <w:i/>
          <w:iCs/>
          <w:color w:val="595959"/>
          <w:sz w:val="18"/>
          <w:szCs w:val="18"/>
        </w:rPr>
        <w:t xml:space="preserve">可孚医疗(301087)_最新价格_行情_走势图—东方财富网 — https://quote.eastmoney.com/sz301087.html?utm_source=openai</w:t>
      </w:r>
    </w:p>
    <w:p>
      <w:pPr>
        <w:spacing w:after="200"/>
      </w:pPr>
      <w:r>
        <w:rPr>
          <w:i/>
          <w:iCs/>
          <w:color w:val="595959"/>
          <w:sz w:val="18"/>
          <w:szCs w:val="18"/>
        </w:rPr>
        <w:t xml:space="preserve">Cofoe Medical Technology Co Ltd股票技術分析 (301087) — https://hk.investing.com/equities/cofoe-medical-technology-technical?utm_source=openai</w:t>
      </w:r>
    </w:p>
    <w:p>
      <w:pPr>
        <w:spacing w:after="200"/>
      </w:pPr>
      <w:r>
        <w:rPr>
          <w:i/>
          <w:iCs/>
          <w:color w:val="595959"/>
          <w:sz w:val="18"/>
          <w:szCs w:val="18"/>
        </w:rPr>
        <w:t xml:space="preserve">可孚医疗(301087)个股分析_牛叉诊股_同花顺财经 — https://doctor.10jqka.com.cn/301087/?utm_source=openai</w:t>
      </w:r>
    </w:p>
    <w:p>
      <w:pPr>
        <w:spacing w:after="200"/>
      </w:pPr>
      <w:r>
        <w:rPr>
          <w:i/>
          <w:iCs/>
          <w:color w:val="595959"/>
          <w:sz w:val="18"/>
          <w:szCs w:val="18"/>
        </w:rPr>
        <w:t xml:space="preserve">可孚医疗(301087)_公司公告_可孚医疗：2026年半年度报告摘要新浪财经_新浪网 — https://vip.stock.finance.sina.com.cn/corp/view/vCB_AllBulletinDetail.php?id=12567702&amp;stockid=301087&amp;utm_source=openai</w:t>
      </w:r>
    </w:p>
    <w:p>
      <w:pPr>
        <w:spacing w:after="200"/>
      </w:pPr>
      <w:r>
        <w:rPr>
          <w:i/>
          <w:iCs/>
          <w:color w:val="595959"/>
          <w:sz w:val="18"/>
          <w:szCs w:val="18"/>
        </w:rPr>
        <w:t xml:space="preserve">本报告由AI基于公开渠道信息自动检索、整理并生成，信息截至 数据截至2026年9月11日收盘；股东及机构持仓数据截至2026年6月30日，存在季度滞后；部分行情指标因来源口径或数据时点差异存在不确定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2026-09-13T12:44:36.523Z</dcterms:created>
  <dcterms:modified xsi:type="dcterms:W3CDTF">2026-09-13T12:44:36.523Z</dcterms:modified>
</cp:coreProperties>
</file>

<file path=docProps/custom.xml><?xml version="1.0" encoding="utf-8"?>
<Properties xmlns="http://schemas.openxmlformats.org/officeDocument/2006/custom-properties" xmlns:vt="http://schemas.openxmlformats.org/officeDocument/2006/docPropsVTypes"/>
</file>