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辽宁何氏眼科医院集团股份有限公司（何氏眼科） (301103)</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行业：眼科医疗服务</w:t>
      </w:r>
    </w:p>
    <w:p>
      <w:pPr>
        <w:jc w:val="center"/>
      </w:pPr>
      <w:r>
        <w:rPr>
          <w:color w:val="595959"/>
          <w:sz w:val="22"/>
          <w:szCs w:val="22"/>
        </w:rPr>
        <w:t xml:space="preserve">报告日期：2026年9月13日</w:t>
      </w:r>
    </w:p>
    <w:p>
      <w:pPr>
        <w:jc w:val="center"/>
      </w:pPr>
      <w:r>
        <w:rPr>
          <w:color w:val="595959"/>
          <w:sz w:val="20"/>
          <w:szCs w:val="20"/>
        </w:rPr>
        <w:t xml:space="preserve">截至2026年9月11日收盘；部分技术指标页面未明确标注刷新日期，可能与最新收盘数据不同步。</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何氏眼科2026年上半年营业收入5.85亿元，同比增长4.46%，但归属于上市公司股东的净利润为4153.33万元，同比下降6.30%，扣非归母净利润为3475.93万元，同比下降6.67%，显示收入增长尚未同步转化为利润增长。公司解释称，净利润受到限制性股票股权激励费用摊销影响；剔除该因素后，归母净利润为4971.22万元，同比上升12.15%，但该调整口径并非法定财务报表直接列示数据。</w:t>
      </w:r>
    </w:p>
    <w:p>
      <w:pPr>
        <w:spacing w:after="160" w:line="300"/>
      </w:pPr>
      <w:r>
        <w:rPr>
          <w:sz w:val="22"/>
          <w:szCs w:val="22"/>
        </w:rPr>
        <w:t xml:space="preserve">公司2025年收入10.93亿元，同比基本持平，归母净利润2733.65万元，实现由亏转盈，但扣非归母净利润仅1076.85万元，盈利质量仍需观察。业务结构上，视光服务收入3.48亿元、占比31.84%，屈光不正手术矫正服务收入2.34亿元、占比21.43%，均属于相对高毛利业务；白内障收入同比下降7.43%，并面临医保控费和人工晶体集采压力。</w:t>
      </w:r>
    </w:p>
    <w:p>
      <w:pPr>
        <w:spacing w:after="160" w:line="300"/>
      </w:pPr>
      <w:r>
        <w:rPr>
          <w:sz w:val="22"/>
          <w:szCs w:val="22"/>
        </w:rPr>
        <w:t xml:space="preserve">公司已形成以眼科医院为核心的“1+N”网络，截至2025年末拥有121家直营眼科服务机构及61家累计签约加盟视光门店，但收入仍高度集中于辽宁省，2025年辽宁省内收入占94.21%，省外收入仅占5.79%，全国化扩张仍处于早期。管理层后续将推进屈光、视光、干眼、品牌建设、数字化及AI辅助诊疗等方向，但尚未形成新的量化盈利指引。</w:t>
      </w:r>
    </w:p>
    <w:p>
      <w:pPr>
        <w:spacing w:after="160" w:line="300"/>
      </w:pPr>
      <w:r>
        <w:rPr>
          <w:sz w:val="22"/>
          <w:szCs w:val="22"/>
        </w:rPr>
        <w:t xml:space="preserve">截至2026年9月11日收盘，公司股价为15.78元，低于MA5、MA10和MA20，MACD偏弱，RSI6接近传统超卖区间，技术面处于弱势但存在技术性反抽可能。公司市值约24.9亿元，动态市盈率约104倍，估值对利润基数较为敏感；当前暂无有效的机构一致盈利预测和近期评级，技术指标页面也存在刷新不同步问题。</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A股代码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301103</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上市日期</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2022年3月22日</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总部所在地</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辽宁省沈阳市</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主营定位</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眼科医疗、视光服务及相关眼健康管理服务，不生产眼科设备或药品</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发展模式</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以眼科医院为核心，带动连锁视光诊所、视光门店和基层服务网络扩张的“1+N”模式</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直营机构</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截至2025年12月31日拥有121家眼科服务直营机构</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加盟网络</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截至2025年末累计签约加盟视光门店61家，2025年新增签约加盟店35家</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2025年营业收入</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10.93亿元</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2025年归属于上市公司股东的净利润</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2733.65万元，较2024年扭亏为盈</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2025年收入区域结构</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辽宁省内收入10.29亿元，占94.21%；辽宁省外收入6322万元，占5.79%</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屈光不正手术矫正服务：2025年收入2.34亿元，占营业收入21.43%，同比增长7.57%，毛利率50.27%；包括近视激光手术、成人屈光及老花眼矫正等。</w:t>
      </w:r>
    </w:p>
    <w:p>
      <w:pPr>
        <w:pStyle w:val="ListParagraph"/>
        <w:numPr>
          <w:ilvl w:val="0"/>
          <w:numId w:val="2"/>
        </w:numPr>
        <w:spacing w:after="80" w:line="280"/>
      </w:pPr>
      <w:r>
        <w:rPr>
          <w:sz w:val="22"/>
          <w:szCs w:val="22"/>
        </w:rPr>
        <w:t xml:space="preserve">白内障诊疗服务：2025年收入1.45亿元，占营业收入13.27%，同比下降7.43%，毛利率37.67%；公司推动业务由传统数量型治疗向高端功能性人工晶体及视觉质量改善方向调整。</w:t>
      </w:r>
    </w:p>
    <w:p>
      <w:pPr>
        <w:pStyle w:val="ListParagraph"/>
        <w:numPr>
          <w:ilvl w:val="0"/>
          <w:numId w:val="2"/>
        </w:numPr>
        <w:spacing w:after="80" w:line="280"/>
      </w:pPr>
      <w:r>
        <w:rPr>
          <w:sz w:val="22"/>
          <w:szCs w:val="22"/>
        </w:rPr>
        <w:t xml:space="preserve">玻璃体视网膜及其他眼病诊疗服务：2025年玻璃体视网膜诊疗服务收入约8965万元，占营业收入8.20%，毛利率26.19%；其他眼病诊疗服务收入约3443万元，占比3.15%，毛利率48.23%。</w:t>
      </w:r>
    </w:p>
    <w:p>
      <w:pPr>
        <w:pStyle w:val="ListParagraph"/>
        <w:numPr>
          <w:ilvl w:val="0"/>
          <w:numId w:val="2"/>
        </w:numPr>
        <w:spacing w:after="80" w:line="280"/>
      </w:pPr>
      <w:r>
        <w:rPr>
          <w:sz w:val="22"/>
          <w:szCs w:val="22"/>
        </w:rPr>
        <w:t xml:space="preserve">非手术治疗：2025年收入2.30亿元，占营业收入21.09%，毛利率34.34%；主要包括眼病药物治疗、检查、护理及相关眼健康服务。</w:t>
      </w:r>
    </w:p>
    <w:p>
      <w:pPr>
        <w:pStyle w:val="ListParagraph"/>
        <w:numPr>
          <w:ilvl w:val="0"/>
          <w:numId w:val="2"/>
        </w:numPr>
        <w:spacing w:after="80" w:line="280"/>
      </w:pPr>
      <w:r>
        <w:rPr>
          <w:sz w:val="22"/>
          <w:szCs w:val="22"/>
        </w:rPr>
        <w:t xml:space="preserve">视光服务：2025年收入3.48亿元，占营业收入31.84%，为收入占比最大的单项业务，毛利率42.10%；包括医学验光配镜、儿童青少年近视防控、视功能训练、视光门诊、视光中心以及镜片和镜架销售等。</w:t>
      </w:r>
    </w:p>
    <w:p>
      <w:pPr>
        <w:pStyle w:val="ListParagraph"/>
        <w:numPr>
          <w:ilvl w:val="0"/>
          <w:numId w:val="2"/>
        </w:numPr>
        <w:spacing w:after="80" w:line="280"/>
      </w:pPr>
      <w:r>
        <w:rPr>
          <w:sz w:val="22"/>
          <w:szCs w:val="22"/>
        </w:rPr>
        <w:t xml:space="preserve">2025年医疗行业收入10.82亿元，占营业收入98.98%；其他业务收入1109.76万元，占1.02%。</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何氏眼科处于眼科医疗服务产业链的中下游，连接上游药品、人工晶体、医疗器械及视光材料供应商，通过医院、门诊、视光中心和医生团队向患者、医保支付方、商业保险及视光消费者提供诊疗、手术、验光配镜和眼健康管理服务。公司当前呈现“辽宁区域深耕+全国网络扩张初期”的特征。</w:t>
      </w:r>
    </w:p>
    <w:p>
      <w:pPr>
        <w:pStyle w:val="ListParagraph"/>
        <w:numPr>
          <w:ilvl w:val="0"/>
          <w:numId w:val="2"/>
        </w:numPr>
        <w:spacing w:after="80" w:line="280"/>
      </w:pPr>
      <w:r>
        <w:rPr>
          <w:sz w:val="22"/>
          <w:szCs w:val="22"/>
        </w:rPr>
        <w:t xml:space="preserve">公司实际采购主要包括药品、医疗器械及手术设备、人工晶体等高值医用耗材、镜架和镜片等视光材料，以及房屋、设备、信息化系统和专业服务。</w:t>
      </w:r>
    </w:p>
    <w:p>
      <w:pPr>
        <w:pStyle w:val="ListParagraph"/>
        <w:numPr>
          <w:ilvl w:val="0"/>
          <w:numId w:val="2"/>
        </w:numPr>
        <w:spacing w:after="80" w:line="280"/>
      </w:pPr>
      <w:r>
        <w:rPr>
          <w:sz w:val="22"/>
          <w:szCs w:val="22"/>
        </w:rPr>
        <w:t xml:space="preserve">公司采取集团统一采购模式，通过招标、竞争性谈判和询价方式确定供应商目录，再由各分子公司根据需求采购，有助于提高规模化采购和供应商管理能力。</w:t>
      </w:r>
    </w:p>
    <w:p>
      <w:pPr>
        <w:pStyle w:val="ListParagraph"/>
        <w:numPr>
          <w:ilvl w:val="0"/>
          <w:numId w:val="2"/>
        </w:numPr>
        <w:spacing w:after="80" w:line="280"/>
      </w:pPr>
      <w:r>
        <w:rPr>
          <w:sz w:val="22"/>
          <w:szCs w:val="22"/>
        </w:rPr>
        <w:t xml:space="preserve">2025年医疗行业营业成本中，材料成本3.29亿元，占医疗行业成本51.06%；人工成本1.98亿元，占30.65%；折旧、房租及摊销1.01亿元，占15.63%；其他成本占2.66%。成本结构以医用材料、人工和医疗机构固定运营成本为主。</w:t>
      </w:r>
    </w:p>
    <w:p>
      <w:pPr>
        <w:pStyle w:val="ListParagraph"/>
        <w:numPr>
          <w:ilvl w:val="0"/>
          <w:numId w:val="2"/>
        </w:numPr>
        <w:spacing w:after="80" w:line="280"/>
      </w:pPr>
      <w:r>
        <w:rPr>
          <w:sz w:val="22"/>
          <w:szCs w:val="22"/>
        </w:rPr>
        <w:t xml:space="preserve">公司对上游议价能力总体处于中等水平：统一采购和规模化采购可以降低采购成本，但人工晶体、手术设备、药品和高端视光产品存在品牌、技术及注册准入壁垒，供应商并非完全可替代。</w:t>
      </w:r>
    </w:p>
    <w:p>
      <w:pPr>
        <w:pStyle w:val="ListParagraph"/>
        <w:numPr>
          <w:ilvl w:val="0"/>
          <w:numId w:val="2"/>
        </w:numPr>
        <w:spacing w:after="80" w:line="280"/>
      </w:pPr>
      <w:r>
        <w:rPr>
          <w:sz w:val="22"/>
          <w:szCs w:val="22"/>
        </w:rPr>
        <w:t xml:space="preserve">人工晶体集采、医保控费及医疗耗材价格调整会对白内障等业务的单患者收入和毛利率形成压力，公司整体并非上游资源或核心耗材的价格制定者。</w:t>
      </w:r>
    </w:p>
    <w:p>
      <w:pPr>
        <w:pStyle w:val="ListParagraph"/>
        <w:numPr>
          <w:ilvl w:val="0"/>
          <w:numId w:val="2"/>
        </w:numPr>
        <w:spacing w:after="80" w:line="280"/>
      </w:pPr>
      <w:r>
        <w:rPr>
          <w:sz w:val="22"/>
          <w:szCs w:val="22"/>
        </w:rPr>
        <w:t xml:space="preserve">公司下游主要包括眼病患者、儿童青少年近视防控人群、屈光手术和视光消费人群、老年白内障患者，以及医保支付方、商业保险支付方、视光加盟店和基层合作机构。</w:t>
      </w:r>
    </w:p>
    <w:p>
      <w:pPr>
        <w:pStyle w:val="ListParagraph"/>
        <w:numPr>
          <w:ilvl w:val="0"/>
          <w:numId w:val="2"/>
        </w:numPr>
        <w:spacing w:after="80" w:line="280"/>
      </w:pPr>
      <w:r>
        <w:rPr>
          <w:sz w:val="22"/>
          <w:szCs w:val="22"/>
        </w:rPr>
        <w:t xml:space="preserve">2025年公司直接销售/服务收入占营业收入99.62%，经销销售收入仅占0.38%，主要通过自有医院、门诊及直营服务机构直接面对患者，而非依赖大型渠道客户。</w:t>
      </w:r>
    </w:p>
    <w:p>
      <w:pPr>
        <w:pStyle w:val="ListParagraph"/>
        <w:numPr>
          <w:ilvl w:val="0"/>
          <w:numId w:val="2"/>
        </w:numPr>
        <w:spacing w:after="80" w:line="280"/>
      </w:pPr>
      <w:r>
        <w:rPr>
          <w:sz w:val="22"/>
          <w:szCs w:val="22"/>
        </w:rPr>
        <w:t xml:space="preserve">2025年前五大客户销售额合计114.99万元，占年度销售总额0.11%。该数据来自公司2025年年报，但客户名称匿名列示；由于客户主要为分散的个人患者，该指标不能完全反映单个地区、医保机构或大型合作方的真实集中度，仅能说明不存在传统制造业意义上的单一大客户依赖。</w:t>
      </w:r>
    </w:p>
    <w:p>
      <w:pPr>
        <w:pStyle w:val="ListParagraph"/>
        <w:numPr>
          <w:ilvl w:val="0"/>
          <w:numId w:val="2"/>
        </w:numPr>
        <w:spacing w:after="80" w:line="280"/>
      </w:pPr>
      <w:r>
        <w:rPr>
          <w:sz w:val="22"/>
          <w:szCs w:val="22"/>
        </w:rPr>
        <w:t xml:space="preserve">屈光手术和视光服务具有消费医疗属性，定价受到患者支付意愿、品牌、医生技术、获客成本和服务体验影响，公司具备一定定价和品牌溢价空间。</w:t>
      </w:r>
    </w:p>
    <w:p>
      <w:pPr>
        <w:pStyle w:val="ListParagraph"/>
        <w:numPr>
          <w:ilvl w:val="0"/>
          <w:numId w:val="2"/>
        </w:numPr>
        <w:spacing w:after="80" w:line="280"/>
      </w:pPr>
      <w:r>
        <w:rPr>
          <w:sz w:val="22"/>
          <w:szCs w:val="22"/>
        </w:rPr>
        <w:t xml:space="preserve">白内障等医保或半医保业务受到医保支付、DRG/DIP改革及人工晶体集采影响，医院对支付方和高值耗材供应商的议价能力相对有限。</w:t>
      </w:r>
    </w:p>
    <w:p>
      <w:pPr>
        <w:pStyle w:val="ListParagraph"/>
        <w:numPr>
          <w:ilvl w:val="0"/>
          <w:numId w:val="2"/>
        </w:numPr>
        <w:spacing w:after="80" w:line="280"/>
      </w:pPr>
      <w:r>
        <w:rPr>
          <w:sz w:val="22"/>
          <w:szCs w:val="22"/>
        </w:rPr>
        <w:t xml:space="preserve">公司面临公立医院、民营连锁眼科机构及本地专科医院在医生、患者和医保资源方面的竞争；视光业务还面临验光专业性、镜片品牌、服务体验、近视防控效果和价格等方面的竞争。</w:t>
      </w:r>
    </w:p>
    <w:p>
      <w:pPr>
        <w:pStyle w:val="ListParagraph"/>
        <w:numPr>
          <w:ilvl w:val="0"/>
          <w:numId w:val="2"/>
        </w:numPr>
        <w:spacing w:after="80" w:line="280"/>
      </w:pPr>
      <w:r>
        <w:rPr>
          <w:sz w:val="22"/>
          <w:szCs w:val="22"/>
        </w:rPr>
        <w:t xml:space="preserve">截至2025年12月31日，公司应收账款约3687万元，相当于2025年营业收入的3.37%；预付款项约1584万元，占营业收入约1.45%；应付账款约5904万元，占营业收入约5.40%。应付账款高于应收账款，且公司收入主要来自患者即时支付、医保结算及视光消费，未呈现明显的大额赊销或严重应收账款占用。但医保结算周期、商业保险结算、医疗纠纷及新机构培育期仍可能带来现金流压力，不能仅凭应收账款比例认定公司对全部下游具有较强议价权。</w:t>
      </w:r>
    </w:p>
    <w:p>
      <w:pPr>
        <w:pStyle w:val="ListParagraph"/>
        <w:numPr>
          <w:ilvl w:val="0"/>
          <w:numId w:val="2"/>
        </w:numPr>
        <w:spacing w:after="80" w:line="280"/>
      </w:pPr>
      <w:r>
        <w:rPr>
          <w:sz w:val="22"/>
          <w:szCs w:val="22"/>
        </w:rPr>
        <w:t xml:space="preserve">供应商方面，2025年前五大供应商采购额合计1.33亿元，占年度采购总额41.88%，第一大供应商占20.25%；该数据来自公司2025年年报，但供应商名称及具体采购品类未披露，无法进一步判断是否集中于某一人工晶体、设备或镜片品牌，具体以最新年报为准。客户方面，2025年前五大客户销售额合计114.99万元，占销售总额0.11%；客户名称匿名列示，且该指标受个人患者高度分散的业务模式影响，不能完全代表地区、医保机构或合作方集中度。</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2023年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研究纪要未提供2023年公司整体毛利率和净利率，无法判断当年成本、支付改革或业务结构变化对利润率的具体影响。</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约38.33%（根据2025年医疗行业毛利率40.50%较2024年提高2.17个百分点推算；研究纪要未直接给出2024年毛利率）</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2024年公司整体净利率及净利润未在研究纪要中给出；2025年毛利率改善的比较基准显示，2024年医疗行业毛利率低于2025年。</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医疗行业毛利率40.50%</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未直接披露（同期归属于上市公司股东的净利润为2733.65万元）</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毛利率较2024年提高2.17个百分点，主要与医疗行业营业成本下降、低效资产出清、费用和运营效率改善及屈光业务增长有关；屈光和视光等较高毛利业务占比提升，但医保控费、人工晶体集采、医生人工成本及新医院培育期亏损仍构成压力。</w:t>
            </w:r>
          </w:p>
        </w:tc>
      </w:tr>
    </w:tbl>
    <w:p>
      <w:pPr>
        <w:spacing w:before="200"/>
      </w:pPr>
    </w:p>
    <w:p>
      <w:pPr>
        <w:spacing w:after="160" w:line="300"/>
      </w:pPr>
      <w:r>
        <w:rPr>
          <w:sz w:val="22"/>
          <w:szCs w:val="22"/>
        </w:rPr>
        <w:t xml:space="preserve">公司位于眼科医疗服务产业链的中下游服务和品牌运营环节，不属于上游药品、设备或人工晶体制造商。当前利润改善主要依赖屈光和视光等高毛利业务增长、辽宁以外新机构培育成功、加盟网络扩张、统一采购降本及医院和门店利用率提升，而非依赖上游资源垄断或制造产能扩张。</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2026年上半年（1—6月）</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5.8509亿元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同比增长4.46%</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归属于上市公司股东的净利润4153.33万元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同比下降6.30%</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2026年第一季度</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3.0518亿元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同比增长4.70%</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归属于上市公司股东的净利润3268.88万元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同比增长0.48%</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2025年度</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10.9262亿元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同比下降0.28%</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归属于上市公司股东的净利润2733.65万元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2024年亏损2739.82万元，2025年实现扭亏为盈，无法按通常口径计算同比增速</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2025年第一季度</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2.9148亿元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同比增长2.35%</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归属于上市公司股东的净利润3253.19万元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同比增长12.27%</w:t>
            </w:r>
          </w:p>
        </w:tc>
      </w:tr>
    </w:tbl>
    <w:p>
      <w:pPr>
        <w:spacing w:after="200"/>
      </w:pPr>
      <w:r>
        <w:rPr>
          <w:i/>
          <w:iCs/>
          <w:color w:val="595959"/>
          <w:sz w:val="18"/>
          <w:szCs w:val="18"/>
        </w:rPr>
        <w:t xml:space="preserve">截至2026年8月28日，公司披露的最新正式财报为《2026年半年度报告》，最新财报期间为2026年1—6月。2026年上半年扣除非经常性损益后的归母净利润为3475.93万元，同比下降6.67%；基本每股收益为0.2674元，同比下降4.67%。</w:t>
      </w:r>
    </w:p>
    <w:p>
      <w:pPr>
        <w:spacing w:after="160" w:line="300"/>
      </w:pPr>
      <w:r>
        <w:rPr>
          <w:sz w:val="22"/>
          <w:szCs w:val="22"/>
        </w:rPr>
        <w:t xml:space="preserve">2026年上半年公司营业收入保持小幅增长，但归母净利润和扣非归母净利润均同比下降，收入增长尚未转化为利润增长。2025年公司收入基本停滞，但归母净利润由亏转盈；扣非归母净利润仅为1076.85万元，低于归母净利润2733.65万元，盈利质量仍需观察。2026年上半年归母净利润已超过2025年全年，但同比上年同期下降，需关注下半年利润能否延续。2026年6月30日归属于上市公司股东的净资产为19.1024亿元，较2025年末增长1.40%；总资产为22.0107亿元，较2025年末增长0.88%。</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同花顺盈利预测页面显示，何氏眼科本年度暂无机构做出业绩预测，2026年和2027年的预测净利润、预测每股收益均为空；近六个月内买入、增持、中性、减持、卖出评级数量均为0。2026—2028年营业收入、归母净利润和EPS均未找到可交叉核实的多机构一致预测。历史研报中，国泰君安2024年三季报点评曾预测2024—2026年归母净利润约为0.84亿元、1.11亿元和1.45亿元并给予“增持”评级，但该预测时效性较差，且实际2025年归母净利润仅为2733.65万元，不宜作为当前盈利预测依据。</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未找到有效的机构一致预期；公司股权激励考核门槛为营业收入不低于12亿元，但该数据不是机构盈利预测或正式业绩指引</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未找到有效的机构一致预期；公司股权激励考核门槛为归属于上市公司股东的净利润不低于4000万元，但该数据不是机构盈利预测或正式业绩指引</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未找到有效的机构一致预期</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未找到有效的机构一致预期</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未找到有效的机构一致预期；公司股权激励考核门槛为营业收入不低于13亿元，但该数据不是机构盈利预测或正式业绩指引</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未找到有效的机构一致预期；公司股权激励考核门槛为归属于上市公司股东的净利润不低于8000万元，但该数据不是机构盈利预测或正式业绩指引</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未找到有效的机构一致预期</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未找到有效的机构一致预期</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未找到有效的机构一致预期</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未找到有效的机构一致预期</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未找到有效的机构一致预期</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未找到有效的机构一致预期</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同花顺</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无近期评级</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截至2026年9月13日前</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最近六个月内买入、增持、中性、减持或卖出评级数量均为0</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证券之星</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无近期评级</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截至2026年9月13日前</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最近90天内无机构评级</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国泰君安证券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2024年三季报点评</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曾预测何氏眼科2024—2026年归母净利润约为0.84亿元、1.11亿元和1.45亿元；属于历史研报，不宜作为当前盈利预测依据</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国金证券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2022年9月13日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历史研报曾给予目标价约36.91元；目标价距今时间较长，不能作为当前估值参考</w:t>
            </w:r>
          </w:p>
        </w:tc>
      </w:tr>
    </w:tbl>
    <w:p>
      <w:pPr>
        <w:spacing w:before="200"/>
      </w:pPr>
    </w:p>
    <w:p>
      <w:pPr>
        <w:spacing w:after="160" w:line="300"/>
      </w:pPr>
      <w:r>
        <w:rPr>
          <w:sz w:val="22"/>
          <w:szCs w:val="22"/>
        </w:rPr>
        <w:t xml:space="preserve">截至2026年9月11日收盘，公司股价为15.78元，当日涨跌幅为-2.41%，成交量约139万股。按2026年6月30日每股净资产12.09元计算，市净率PB约为1.31倍；按总股本约1.58亿股计算，总市值约24.9亿元。同花顺显示动态市盈率约30.15倍、每股收益约0.27元；雪球近期显示静态市盈率约95.61倍、市净率约1.37倍；理杏仁截至2026年8月13日显示，股价17.56元时PE-TTM约100.93倍、PB约1.46倍、市值约27.75亿元。不同平台的PE存在明显差异，主要源于动态年化PE、静态PE和TTM PE的计算方法及利润口径不同。按2025年全年归母净利润2733.65万元计算，当前市值对应静态PE约91倍；按2026年上半年归母净利润4153.33万元简单年化，全年归母净利润约8307万元，对应PE约30倍，但该估算未考虑下半年季节性、非经常性损益及利润波动，不能替代正式盈利预测。整体看，公司PB约1.3倍，处于相对不高水平，但PE受利润基数影响较大；当前缺少有效的机构一致盈利预测、近六个月评级和目标价，估值判断应更多依赖实际财报、公司内部目标及同行业估值比较。</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2026年半年度业绩说明会：收入增长，报表归母净利润同比下降</w:t>
      </w:r>
    </w:p>
    <w:p>
      <w:pPr>
        <w:spacing w:after="160" w:line="300"/>
      </w:pPr>
      <w:r>
        <w:rPr>
          <w:sz w:val="22"/>
          <w:szCs w:val="22"/>
        </w:rPr>
        <w:t xml:space="preserve">公司于2026年9月4日披露《关于举办2026年半年度网上业绩说明会的公告》，并于2026年9月11日15:00—17:00通过价值在线召开半年度网上业绩说明会。公司表示，2026年上半年营业收入为5.850929亿元，同比增长4.46%；归属于上市公司股东的净利润为4153.33万元，同比下降6.30%。公司称，净利润下降主要受到限制性股票股权激励费用摊销影响；剔除该因素后，归母净利润为4971.22万元，同比上升12.15%。调整后数据为投资者关系活动中的解释，并非法定财务报表直接列示口径。</w:t>
      </w:r>
    </w:p>
    <w:p>
      <w:pPr>
        <w:pStyle w:val="Heading2"/>
        <w:spacing w:after="120" w:before="240"/>
      </w:pPr>
      <w:r>
        <w:rPr>
          <w:b/>
          <w:bCs/>
          <w:color w:val="2E74B5"/>
          <w:sz w:val="24"/>
          <w:szCs w:val="24"/>
        </w:rPr>
        <w:t xml:space="preserve">4.2 2026年半年度经营数据及业绩预告情况</w:t>
      </w:r>
    </w:p>
    <w:p>
      <w:pPr>
        <w:spacing w:after="160" w:line="300"/>
      </w:pPr>
      <w:r>
        <w:rPr>
          <w:sz w:val="22"/>
          <w:szCs w:val="22"/>
        </w:rPr>
        <w:t xml:space="preserve">2026年半年度报告披露，公司上半年扣除非经常性损益后的归母净利润为3475.93万元，同比下降6.67%；经营活动现金流量净额为9870.59万元，同比下降13.05%。截至2026年9月13日，未发现公司针对2026年前三季度或2026年度发布新的业绩预告、业绩快报或明确利润预测。</w:t>
      </w:r>
    </w:p>
    <w:p>
      <w:pPr>
        <w:pStyle w:val="Heading2"/>
        <w:spacing w:after="120" w:before="240"/>
      </w:pPr>
      <w:r>
        <w:rPr>
          <w:b/>
          <w:bCs/>
          <w:color w:val="2E74B5"/>
          <w:sz w:val="24"/>
          <w:szCs w:val="24"/>
        </w:rPr>
        <w:t xml:space="preserve">4.3 公司公布下半年经营方向</w:t>
      </w:r>
    </w:p>
    <w:p>
      <w:pPr>
        <w:spacing w:after="160" w:line="300"/>
      </w:pPr>
      <w:r>
        <w:rPr>
          <w:sz w:val="22"/>
          <w:szCs w:val="22"/>
        </w:rPr>
        <w:t xml:space="preserve">公司在半年度业绩说明会上表示，下半年将围绕业务拓展、品牌建设、数字化赋能、基础夯实和科技创新五个方向开展工作，继续推进屈光、视光、干眼等业务，并加强数字化和AI辅助诊疗应用。上述内容属于管理层经营展望，不构成业绩承诺，且公司未形成新的量化盈利指引。</w:t>
      </w:r>
    </w:p>
    <w:p>
      <w:pPr>
        <w:pStyle w:val="Heading2"/>
        <w:spacing w:after="120" w:before="240"/>
      </w:pPr>
      <w:r>
        <w:rPr>
          <w:b/>
          <w:bCs/>
          <w:color w:val="2E74B5"/>
          <w:sz w:val="24"/>
          <w:szCs w:val="24"/>
        </w:rPr>
        <w:t xml:space="preserve">4.4 先进制造基金减持计划实施完成</w:t>
      </w:r>
    </w:p>
    <w:p>
      <w:pPr>
        <w:spacing w:after="160" w:line="300"/>
      </w:pPr>
      <w:r>
        <w:rPr>
          <w:sz w:val="22"/>
          <w:szCs w:val="22"/>
        </w:rPr>
        <w:t xml:space="preserve">公司于2026年1月19日披露，持股5%以上股东先进制造产业投资基金（有限合伙）计划于2026年2月7日至2026年5月6日期间减持不超过310.6074万股，占公司总股本约1.97%，减持原因为自身资金需求。2026年5月7日，公司披露该减持计划实施完成，先进制造基金通过集中竞价方式累计减持73.33万股，占公司目前总股本约0.46%，占剔除回购专用证券账户股份后总股本约0.47%。减持数量低于原计划上限，本轮减持计划期限届满后已经结束。</w:t>
      </w:r>
    </w:p>
    <w:p>
      <w:pPr>
        <w:pStyle w:val="Heading2"/>
        <w:spacing w:after="120" w:before="240"/>
      </w:pPr>
      <w:r>
        <w:rPr>
          <w:b/>
          <w:bCs/>
          <w:color w:val="2E74B5"/>
          <w:sz w:val="24"/>
          <w:szCs w:val="24"/>
        </w:rPr>
        <w:t xml:space="preserve">4.5 公司回应股东减持及回购、增持安排</w:t>
      </w:r>
    </w:p>
    <w:p>
      <w:pPr>
        <w:spacing w:after="160" w:line="300"/>
      </w:pPr>
      <w:r>
        <w:rPr>
          <w:sz w:val="22"/>
          <w:szCs w:val="22"/>
        </w:rPr>
        <w:t xml:space="preserve">2026年9月11日半年度业绩说明会上，公司表示，先进制造基金减持是股东基于自身资金需求作出的自主决策；该基金不属于控股股东、实际控制人及其一致行动人，减持不会导致公司控制权变更，也不影响公司治理结构和持续经营。公司表示未来将审慎研究回购、增持等市值管理工具的可行性，但截至2026年9月13日未检索到新的正式回购或增持计划公告。</w:t>
      </w:r>
    </w:p>
    <w:p>
      <w:pPr>
        <w:pStyle w:val="Heading2"/>
        <w:spacing w:after="120" w:before="240"/>
      </w:pPr>
      <w:r>
        <w:rPr>
          <w:b/>
          <w:bCs/>
          <w:color w:val="2E74B5"/>
          <w:sz w:val="24"/>
          <w:szCs w:val="24"/>
        </w:rPr>
        <w:t xml:space="preserve">4.6 公司已有回购股份，暂无新的回购实施计划</w:t>
      </w:r>
    </w:p>
    <w:p>
      <w:pPr>
        <w:spacing w:after="160" w:line="300"/>
      </w:pPr>
      <w:r>
        <w:rPr>
          <w:sz w:val="22"/>
          <w:szCs w:val="22"/>
        </w:rPr>
        <w:t xml:space="preserve">截至2026年6月30日，公司回购专用证券账户持有股份272.2719万股，占公司总股本约1.72%。该部分股份来源于此前已经完成的回购安排，并非2026年9月新启动的回购。公司尚未披露具体回购金额、价格上限、实施期限或注销安排。</w:t>
      </w:r>
    </w:p>
    <w:p>
      <w:pPr>
        <w:pStyle w:val="Heading2"/>
        <w:spacing w:after="120" w:before="240"/>
      </w:pPr>
      <w:r>
        <w:rPr>
          <w:b/>
          <w:bCs/>
          <w:color w:val="2E74B5"/>
          <w:sz w:val="24"/>
          <w:szCs w:val="24"/>
        </w:rPr>
        <w:t xml:space="preserve">4.7 产业基金规模扩大，主要用于产业投资及并购项目储备</w:t>
      </w:r>
    </w:p>
    <w:p>
      <w:pPr>
        <w:spacing w:after="160" w:line="300"/>
      </w:pPr>
      <w:r>
        <w:rPr>
          <w:sz w:val="22"/>
          <w:szCs w:val="22"/>
        </w:rPr>
        <w:t xml:space="preserve">2026年7月17日，公司披露《关于与专业投资机构共同投资基金进展的公告》。公司此前拟以自有资金认缴8000万元，参与设立上海浦清本草创业投资合伙企业（有限合伙），投资方向主要围绕生物技术、医疗健康等领域。新增有限合伙人并完成部分合伙人增资后，本草基金认缴出资额由2.85亿元增加至5.025亿元，公司认缴出资额未发生变化。公司表示，基金投资也用于储备未来潜在并购项目。截至2026年9月13日，未检索到公司已经签署或完成重大股权收购、资产收购或并购交易的公告。基金募集、投资项目落地、投资回收周期及收益存在不确定性。</w:t>
      </w:r>
    </w:p>
    <w:p>
      <w:pPr>
        <w:pStyle w:val="Heading2"/>
        <w:spacing w:after="120" w:before="240"/>
      </w:pPr>
      <w:r>
        <w:rPr>
          <w:b/>
          <w:bCs/>
          <w:color w:val="2E74B5"/>
          <w:sz w:val="24"/>
          <w:szCs w:val="24"/>
        </w:rPr>
        <w:t xml:space="preserve">4.8 拟开展现金管理，相关议案尚需审议</w:t>
      </w:r>
    </w:p>
    <w:p>
      <w:pPr>
        <w:spacing w:after="160" w:line="300"/>
      </w:pPr>
      <w:r>
        <w:rPr>
          <w:sz w:val="22"/>
          <w:szCs w:val="22"/>
        </w:rPr>
        <w:t xml:space="preserve">2026年8月28日，公司披露拟使用不超过6.60亿元的闲置募集资金（含超募资金）及不超过7.50亿元的闲置自有资金进行现金管理，期限为股东会审议通过之日起不超过12个月，额度可循环滚动使用。公司称，该安排旨在不影响募投项目建设和正常经营的前提下提高资金使用效率。该议案尚需提交股东会审议，具体执行取决于后续审议及实际产品购买情况。</w:t>
      </w:r>
    </w:p>
    <w:p>
      <w:pPr>
        <w:pStyle w:val="Heading2"/>
        <w:spacing w:after="120" w:before="240"/>
      </w:pPr>
      <w:r>
        <w:rPr>
          <w:b/>
          <w:bCs/>
          <w:color w:val="2E74B5"/>
          <w:sz w:val="24"/>
          <w:szCs w:val="24"/>
        </w:rPr>
        <w:t xml:space="preserve">4.9 董事会及管理层完成换届</w:t>
      </w:r>
    </w:p>
    <w:p>
      <w:pPr>
        <w:spacing w:after="160" w:line="300"/>
      </w:pPr>
      <w:r>
        <w:rPr>
          <w:sz w:val="22"/>
          <w:szCs w:val="22"/>
        </w:rPr>
        <w:t xml:space="preserve">2026年8月6日，公司完成第四届董事会换届。何伟继续担任董事长，何向东、何星儒等担任非独立董事，何星儒被聘任为总经理，公司同时完成独立董事及高级管理人员相关聘任。新一届董事会任期为三年。根据已披露内容，核心管理团队总体延续性较强，暂未出现控股权变化或重大经营战略突然调整的迹象。</w:t>
      </w:r>
    </w:p>
    <w:p>
      <w:pPr>
        <w:pStyle w:val="Heading2"/>
        <w:spacing w:after="120" w:before="240"/>
      </w:pPr>
      <w:r>
        <w:rPr>
          <w:b/>
          <w:bCs/>
          <w:color w:val="2E74B5"/>
          <w:sz w:val="24"/>
          <w:szCs w:val="24"/>
        </w:rPr>
        <w:t xml:space="preserve">4.10 暂未发现新增监管处罚及重大问询事项</w:t>
      </w:r>
    </w:p>
    <w:p>
      <w:pPr>
        <w:spacing w:after="160" w:line="300"/>
      </w:pPr>
      <w:r>
        <w:rPr>
          <w:sz w:val="22"/>
          <w:szCs w:val="22"/>
        </w:rPr>
        <w:t xml:space="preserve">截至2026年9月13日，未检索到何氏眼科在2026年9月或2026年8月新增的监管处罚、立案调查、重大问询函或重大医疗合规处罚公告。公司半年度报告仍将医疗服务监管、医保政策、医疗收费、药品及耗材管理、医护人员资质等列为行业政策风险，但该披露不代表公司已经受到相关处罚。</w:t>
      </w:r>
    </w:p>
    <w:p>
      <w:pPr>
        <w:pStyle w:val="Heading2"/>
        <w:spacing w:after="120" w:before="240"/>
      </w:pPr>
      <w:r>
        <w:rPr>
          <w:b/>
          <w:bCs/>
          <w:color w:val="2E74B5"/>
          <w:sz w:val="24"/>
          <w:szCs w:val="24"/>
        </w:rPr>
        <w:t xml:space="preserve">4.11 后续重点关注事项</w:t>
      </w:r>
    </w:p>
    <w:p>
      <w:pPr>
        <w:spacing w:after="160" w:line="300"/>
      </w:pPr>
      <w:r>
        <w:rPr>
          <w:sz w:val="22"/>
          <w:szCs w:val="22"/>
        </w:rPr>
        <w:t xml:space="preserve">后续可重点关注2026年第三季度业绩是否延续收入增长、股权激励费用对利润的影响是否下降、先进制造基金是否出现新的减持安排、公司是否发布正式回购或增持方案、本草基金是否完成具体项目投资、现金管理额度是否通过股东会审议并实际执行，以及医疗服务、医保支付和民营专科医院监管政策变化。</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股票简称</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何氏眼科</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股票代码</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301103</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15.78元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当日涨跌幅</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-2.41%；大波浪页面显示为-1.98%，涨跌幅以交易所或券商终端为最终口径</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开盘价/最高价/最低价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16.09元/16.10元/15.60元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成交量</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约139万股</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成交额</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约2,200万元，按成交量和当日价格区间估算</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约1.14%，按约1.22亿股流通股本估算</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总股本/流通股本</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约1.58亿股/约1.22亿股</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总市值/流通市值</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约24.9亿元/约19.3亿元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动态市盈率/TTM市盈率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约104倍；中财网截至2026年9月10日为104.11倍，大波浪截至2026年8月28日为106.23倍</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近52周价格区间</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14.50~23.29元，采用大波浪数据口径；Investing.com部分页面显示上限为24.05元，存在数据口径差异</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价格在52周区间中的位置</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收盘价15.78元较大波浪口径52周高点低约32.3%，较52周低点高约8.8%</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MA5/MA10/MA20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16.38元/16.44元/16.61元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收盘价15.78元低于三条均线，且MA5低于MA10、MA10低于MA20，短期均线呈偏空排列</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MACD</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DIF -0.04；DEA 0.06；MACD柱 -0.19</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DIF低于DEA且MACD柱为负，短线下行动能尚未完全修复</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RSI</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RSI6 28.5；RSI12 39.4；RSI24 45.1</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RSI6接近或进入传统超卖区间，显示短线跌幅较快，但超卖本身不等于确定性反转信号</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布林带</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上轨17.25元；中轨16.61元；下轨15.96元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收盘价低于布林带下轨15.96元约1.1%，价格处于近期波动区间下沿之外，存在技术性反抽可能，但仍弱于近期均值；需观察能否重新收回15.96~16.00元区域</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KDJ</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K 29.4；D 34.8；J 18.6</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K值低于D值，J值相对较低，短线技术状态偏弱</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主力资金</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近10个交易日合计净流入约121万元；6个交易日净流入、4个交易日净流出，最近4个交易日连续净流入</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2026年9月9日至9月11日出现主力净流入但股价收跌，资金承接尚未形成明确价格推动力；该数据按大单、超大单划分，不能直接等同于特定投资者身份</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技术数据质量</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MA、MACD、RSI和布林带页面刷新日期未明确；页面顶部行情显示2026年8月28日收盘价16.50元，但技术指标区块同时列出2026年9月11日主力资金数据</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上述技术指标属于参考性技术快照，不能完全视为已由多个独立行情源交叉确认的2026年9月11日终值</w:t>
            </w:r>
          </w:p>
        </w:tc>
      </w:tr>
    </w:tbl>
    <w:p>
      <w:pPr>
        <w:spacing w:before="200"/>
      </w:pPr>
    </w:p>
    <w:p>
      <w:pPr>
        <w:spacing w:after="160" w:line="300"/>
      </w:pPr>
      <w:r>
        <w:rPr>
          <w:sz w:val="22"/>
          <w:szCs w:val="22"/>
        </w:rPr>
        <w:t xml:space="preserve">截至2026年9月11日，何氏眼科收盘价为15.78元，低于MA5、MA10和MA20，短期均线偏空；MACD仍处于弱势，RSI6接近传统超卖区间，布林带收盘价跌破下轨，反映短线价格压力较大，但也保留技术性反抽可能。近52周价格处于相对低位，52周低点14.50元可作为下方重要参考。主力资金近10个交易日统计值合计净流入约121万元，但近期出现资金净流入与股价下跌并存，尚未形成明确的趋势性价格信号。需要特别注意，技术指标页面存在刷新不同步问题，相关指标应结合最新行情终端复核。</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风险提示：以下内容仅为基于截至2026年9月11日收盘数据及历史价格、技术指标的主观情景推演，不构成投资建议，也不代表对未来股价的确定性预测。</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16.00~16.40元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由布林带下轨约15.96元、MA5约16.38元、MA10约16.44元等数据综合形成。重新站回16.00元并进一步突破16.35~16.45元区域，短线弱势结构可能获得一定修复</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15.60~15.95元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参考2026年9月11日最低价15.60元及布林带下轨约15.96元。若有效跌破15.60元，短线情绪可能继续走弱</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14.50~15.00元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参考近52周低点14.50元及近期阶段低位区域。若15.60元附近支撑失守，价格可能向14.50~15.00元区间寻找支撑</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弱势震荡（相对权重较高，约六成左右；该权重为基于当前技术面与资金流 setup 的主观启发式判断，不是统计学概率）：价格区间约15.60~16.40元。触发条件为成交额维持约2,000万~3,500万元、价格在15.60元上方获得承接但无法有效突破16.20~16.40元，且MACD仍偏弱、缺乏新的明确催化剂。对应观察是股价围绕布林下轨、MA5和MA10反复震荡，技术性反抽与回落交替出现</w:t>
      </w:r>
    </w:p>
    <w:p>
      <w:pPr>
        <w:pStyle w:val="ListParagraph"/>
        <w:numPr>
          <w:ilvl w:val="0"/>
          <w:numId w:val="2"/>
        </w:numPr>
        <w:spacing w:after="80" w:line="280"/>
      </w:pPr>
      <w:r>
        <w:rPr>
          <w:sz w:val="22"/>
          <w:szCs w:val="22"/>
        </w:rPr>
        <w:t xml:space="preserve">偏弱下行（权重中等；该权重为基于当前技术面与资金流 setup 的主观启发式判断，不是统计学概率）：价格区间约14.50~15.60元。触发条件为放量跌破15.60元，单日成交额明显高于近期正常水平，同时医药生物或医疗服务板块继续走弱。若支撑失守，重点观察15.00元附近及14.50元前低支撑</w:t>
      </w:r>
    </w:p>
    <w:p>
      <w:pPr>
        <w:pStyle w:val="ListParagraph"/>
        <w:numPr>
          <w:ilvl w:val="0"/>
          <w:numId w:val="2"/>
        </w:numPr>
        <w:spacing w:after="80" w:line="280"/>
      </w:pPr>
      <w:r>
        <w:rPr>
          <w:sz w:val="22"/>
          <w:szCs w:val="22"/>
        </w:rPr>
        <w:t xml:space="preserve">反弹走强（权重偏低；该权重为基于当前技术面与资金流 setup 的主观启发式判断，不是统计学概率）：价格区间约16.40~17.25元。触发条件为股价重新站上16.00元，成交额连续放大至约4,000万元以上，并进一步突破16.40~16.60元；同时MACD柱线收窄、RSI6回到30以上，或出现行业及公司层面的积极催化。若突破16.60元，可观察布林中轨及17.00~17.25元区域，但成交量不足时仍可能冲高回落</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截至2026年9月11日，单日换手率估算约1.14%，成交额约2,200万元；9月10日成交额为2,707.44万元、换手率1.37%，9月8日至9月11日日成交额约2,200万~3,200万元，成交量约139万~193万股。近10日主力资金合计净流入约121万元，但近期出现主力净流入而股价收跌的情况，资金承接尚未转化为明确价格趋势。股东结构方面，截至2026年6月30日，前十大流通股东合计持股约49.37%，机构合计持仓约30.14%，其中基金持仓约3.59%；截至2026年3月31日，十大流通股东中明确披露的公募基金为融通健康产业灵活配置混合型证券投资基金，持股约1.85%。前十大股东中自然人、控股股东及关联方、产业投资类股东占比较高，较高集中度不等同于近期公募或主流机构持续加仓。上述股东数据分别截至2026年6月30日和2026年3月31日，距离2026年9月11日已有约2至5个月，期间可能发生新的买卖变化，不能直接视为当前实时筹码结构。结合约19.3亿元流通市值和日成交额约2,000万~3,000万元的水平，该股短期交易活跃度一般，若出现突发性大单交易，盘口价格可能出现相对明显的滑移。</w:t>
      </w:r>
    </w:p>
    <w:p>
      <w:pPr>
        <w:spacing w:after="160" w:line="300"/>
      </w:pPr>
      <w:r>
        <w:rPr>
          <w:sz w:val="22"/>
          <w:szCs w:val="22"/>
        </w:rPr>
        <w:t xml:space="preserve">若后续单日成交额连续两个交易日达到约4,000万元以上，且收盘价同步站上16.00~16.20元，可作为资金参与度改善和价格修复的观察信号；若放量但收盘仍跌破15.60元，则更应理解为抛压释放，而非单纯的积极信号。</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观察15.60~15.95元支撑区能否有效承接，以及跌破15.60元后是否向14.50~15.00元区间寻找支撑；以上为观察思路，非操作指令。</w:t>
      </w:r>
    </w:p>
    <w:p>
      <w:pPr>
        <w:pStyle w:val="ListParagraph"/>
        <w:numPr>
          <w:ilvl w:val="0"/>
          <w:numId w:val="2"/>
        </w:numPr>
        <w:spacing w:after="80" w:line="280"/>
      </w:pPr>
      <w:r>
        <w:rPr>
          <w:sz w:val="22"/>
          <w:szCs w:val="22"/>
        </w:rPr>
        <w:t xml:space="preserve">观察16.00~16.40元压力区能否在成交量配合下被突破，以及16.40~16.60元区域是否形成进一步修复；以上为观察思路，非操作指令。</w:t>
      </w:r>
    </w:p>
    <w:p>
      <w:pPr>
        <w:pStyle w:val="ListParagraph"/>
        <w:numPr>
          <w:ilvl w:val="0"/>
          <w:numId w:val="2"/>
        </w:numPr>
        <w:spacing w:after="80" w:line="280"/>
      </w:pPr>
      <w:r>
        <w:rPr>
          <w:sz w:val="22"/>
          <w:szCs w:val="22"/>
        </w:rPr>
        <w:t xml:space="preserve">观察成交额是否由近期约2,000万~3,000万元提升至连续两个交易日约4,000万元以上，并同步站上16.00~16.20元；以上为观察思路，非操作指令。</w:t>
      </w:r>
    </w:p>
    <w:p>
      <w:pPr>
        <w:pStyle w:val="ListParagraph"/>
        <w:numPr>
          <w:ilvl w:val="0"/>
          <w:numId w:val="2"/>
        </w:numPr>
        <w:spacing w:after="80" w:line="280"/>
      </w:pPr>
      <w:r>
        <w:rPr>
          <w:sz w:val="22"/>
          <w:szCs w:val="22"/>
        </w:rPr>
        <w:t xml:space="preserve">观察主力资金净流入是否能够与股价上涨同步，而不是继续出现“资金净流入但股价收跌”；以上为观察思路，非操作指令。</w:t>
      </w:r>
    </w:p>
    <w:p>
      <w:pPr>
        <w:spacing w:after="200"/>
      </w:pPr>
      <w:r>
        <w:rPr>
          <w:i/>
          <w:iCs/>
          <w:color w:val="595959"/>
          <w:sz w:val="18"/>
          <w:szCs w:val="18"/>
        </w:rPr>
        <w:t xml:space="preserve">以上情景推演基于2026年9月11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公司所在行业为眼科医疗服务行业，按照招股说明书分类属于证监会行业分类“Q83卫生”，国民经济行业分类为“Q8415专科医院”。行业呈现公立医院占据重要地位、民营眼科连锁化和集中度提升、市场全国分散但区域竞争集中的特征。消费眼科和视光业务具有较强消费医疗属性，通常拥有较高毛利率，但也更依赖品牌、医生口碑、患者支付能力和获客成本。</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大型三甲医院及知名公立眼科中心在疑难眼病、专家资源、科研实力和患者信任方面具有优势；民营机构主要通过连锁扩张、服务效率、消费医疗、视光业务和区域下沉参与竞争。</w:t>
      </w:r>
    </w:p>
    <w:p>
      <w:pPr>
        <w:pStyle w:val="ListParagraph"/>
        <w:numPr>
          <w:ilvl w:val="0"/>
          <w:numId w:val="2"/>
        </w:numPr>
        <w:spacing w:after="80" w:line="280"/>
      </w:pPr>
      <w:r>
        <w:rPr>
          <w:sz w:val="22"/>
          <w:szCs w:val="22"/>
        </w:rPr>
        <w:t xml:space="preserve">民营眼科机构数量和规模持续增长，但在医保改革、人工晶体集采、监管趋严和获客竞争加剧背景下，行业向规模化、标准化、精细化和技术化方向整合，头部机构凭借品牌、人才、资金和采购规模优势扩大网络。</w:t>
      </w:r>
    </w:p>
    <w:p>
      <w:pPr>
        <w:pStyle w:val="ListParagraph"/>
        <w:numPr>
          <w:ilvl w:val="0"/>
          <w:numId w:val="2"/>
        </w:numPr>
        <w:spacing w:after="80" w:line="280"/>
      </w:pPr>
      <w:r>
        <w:rPr>
          <w:sz w:val="22"/>
          <w:szCs w:val="22"/>
        </w:rPr>
        <w:t xml:space="preserve">市场呈现“全国分散、区域集中”特征。何氏眼科2025年辽宁省内收入占94.21%，说明其区域竞争优势较明显，但全国化能力仍需通过新医院、视光门店、加盟网络和品牌建设验证。</w:t>
      </w:r>
    </w:p>
    <w:p>
      <w:pPr>
        <w:pStyle w:val="ListParagraph"/>
        <w:numPr>
          <w:ilvl w:val="0"/>
          <w:numId w:val="2"/>
        </w:numPr>
        <w:spacing w:after="80" w:line="280"/>
      </w:pPr>
      <w:r>
        <w:rPr>
          <w:sz w:val="22"/>
          <w:szCs w:val="22"/>
        </w:rPr>
        <w:t xml:space="preserve">屈光手术、医学视光、近视防控、干眼及视觉功能训练等业务具有较强消费医疗属性，较传统医保眼病业务更依赖品牌营销、医生口碑、患者支付能力和获客成本。</w:t>
      </w:r>
    </w:p>
    <w:p>
      <w:pPr>
        <w:pStyle w:val="ListParagraph"/>
        <w:numPr>
          <w:ilvl w:val="0"/>
          <w:numId w:val="2"/>
        </w:numPr>
        <w:spacing w:after="80" w:line="280"/>
      </w:pPr>
      <w:r>
        <w:rPr>
          <w:sz w:val="22"/>
          <w:szCs w:val="22"/>
        </w:rPr>
        <w:t xml:space="preserve">行业竞争重点正从医院数量扩张转向综合能力，包括高水平医生团队、屈光技术和设备、视光服务标准化、长期客户管理、AI辅助筛查、远程医疗、医院运营效率、供应链管理及品牌获客能力。</w:t>
      </w:r>
    </w:p>
    <w:p>
      <w:pPr>
        <w:pStyle w:val="ListParagraph"/>
        <w:numPr>
          <w:ilvl w:val="0"/>
          <w:numId w:val="2"/>
        </w:numPr>
        <w:spacing w:after="80" w:line="280"/>
      </w:pPr>
      <w:r>
        <w:rPr>
          <w:sz w:val="22"/>
          <w:szCs w:val="22"/>
        </w:rPr>
        <w:t xml:space="preserve">2025年年报中有关行业规模、民营市场占比及未来市场规模的数据主要引用灼识咨询、国家卫生健康统计资料等，公司未完整披露底层数据和计算过程，属于公司引用的行业研究口径，不宜视为独立审计数据。</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爱尔眼科（300015）</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全国性眼科医疗连锁龙头</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在医院数量、区域覆盖、品牌知名度、医生资源和资本实力方面具有优势，与何氏眼科在屈光、白内障、眼底病、视光和儿童近视防控等领域直接竞争；何氏眼科在辽宁和东北市场具有区域积累。</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华厦眼科（301267）</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全国性民营眼科医疗集团</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区域优势主要集中于华东、福建、华南及西南，业务覆盖白内障、眼后段、屈光和眼视光；2025年营业收入约41.39亿元，明显高于何氏眼科，但与何氏眼科在东北市场的重叠度相对有限。</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普瑞眼科（301239）</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全国性眼科专科连锁机构</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业务包括屈光、白内障、医学视光和综合眼病；2025年医疗行业收入约27.67亿元，其中屈光项目收入约12.97亿元、占总收入约46.37%，屈光业务占比高于何氏眼科。</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希玛眼科（港股3309）</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香港及内地眼科医疗服务集团</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强调香港品牌、专家资源及中高端眼科服务，在香港、深圳及大湾区等区域竞争更直接；何氏眼科招股书将其列为同行业可比公司。</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德视佳（港股1846）</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屈光矫正和中高端视力矫正服务商</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与何氏眼科在屈光手术和视光服务领域存在局部竞争，但业务集中度和目标客户更偏高端屈光矫正；何氏眼科招股书将其列为同行业可比公司。</w:t>
            </w:r>
          </w:p>
        </w:tc>
      </w:tr>
    </w:tbl>
    <w:p>
      <w:pPr>
        <w:spacing w:before="200"/>
      </w:pPr>
    </w:p>
    <w:p>
      <w:pPr>
        <w:spacing w:after="160" w:line="300"/>
      </w:pPr>
      <w:r>
        <w:rPr>
          <w:sz w:val="22"/>
          <w:szCs w:val="22"/>
        </w:rPr>
        <w:t xml:space="preserve">何氏眼科相较爱尔眼科、华厦眼科和普瑞眼科规模较小，收入高度集中于辽宁，处于全国化扩张早期；其差异化优势主要来自辽宁区域品牌、东北市场积累、“三级眼健康服务模式”及医院、视光中心、基层机构和加盟门店结合的网络。公司与头部连锁机构的竞争焦点在于医生和专家资源、品牌获客、屈光及视光业务增长、加盟网络质量、采购降本和新机构培育效率。由于各公司在规模、区域和业务结构上存在差异，不宜简单按营业收入或医院数量进行一一比较。</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盈利增长不及预期风险：2026年上半年收入同比增长4.46%，但归母净利润同比下降6.30%，扣非归母净利润同比下降6.67%；若收入增长持续无法转化为利润增长，2025年扭亏后的盈利修复可能缺乏持续性。</w:t>
      </w:r>
    </w:p>
    <w:p>
      <w:pPr>
        <w:pStyle w:val="ListParagraph"/>
        <w:numPr>
          <w:ilvl w:val="0"/>
          <w:numId w:val="2"/>
        </w:numPr>
        <w:spacing w:after="80" w:line="280"/>
      </w:pPr>
      <w:r>
        <w:rPr>
          <w:sz w:val="22"/>
          <w:szCs w:val="22"/>
        </w:rPr>
        <w:t xml:space="preserve">盈利质量波动风险：2025年归母净利润为2733.65万元，但扣非归母净利润仅1076.85万元；归母净利润与扣非口径差异较大，后续利润表现可能受到非经常性损益及股权激励费用等因素影响。</w:t>
      </w:r>
    </w:p>
    <w:p>
      <w:pPr>
        <w:pStyle w:val="ListParagraph"/>
        <w:numPr>
          <w:ilvl w:val="0"/>
          <w:numId w:val="2"/>
        </w:numPr>
        <w:spacing w:after="80" w:line="280"/>
      </w:pPr>
      <w:r>
        <w:rPr>
          <w:sz w:val="22"/>
          <w:szCs w:val="22"/>
        </w:rPr>
        <w:t xml:space="preserve">区域集中风险：2025年辽宁省内收入占94.21%，省外收入仅占5.79%；公司对辽宁区域品牌、患者资源和竞争格局依赖较高，省外机构扩张和网络复制尚未得到充分验证。</w:t>
      </w:r>
    </w:p>
    <w:p>
      <w:pPr>
        <w:pStyle w:val="ListParagraph"/>
        <w:numPr>
          <w:ilvl w:val="0"/>
          <w:numId w:val="2"/>
        </w:numPr>
        <w:spacing w:after="80" w:line="280"/>
      </w:pPr>
      <w:r>
        <w:rPr>
          <w:sz w:val="22"/>
          <w:szCs w:val="22"/>
        </w:rPr>
        <w:t xml:space="preserve">新机构培育风险：公司拥有121家直营眼科服务机构，并持续推进加盟视光门店和省外网络扩张；若新医院、门诊或加盟店培育周期较长、利用率不足，可能导致人工、房租、折旧及运营费用增加并拖累利润。</w:t>
      </w:r>
    </w:p>
    <w:p>
      <w:pPr>
        <w:pStyle w:val="ListParagraph"/>
        <w:numPr>
          <w:ilvl w:val="0"/>
          <w:numId w:val="2"/>
        </w:numPr>
        <w:spacing w:after="80" w:line="280"/>
      </w:pPr>
      <w:r>
        <w:rPr>
          <w:sz w:val="22"/>
          <w:szCs w:val="22"/>
        </w:rPr>
        <w:t xml:space="preserve">医保控费与耗材集采风险：白内障诊疗服务2025年收入同比下降7.43%，相关业务受到医保支付、DRG/DIP改革及人工晶体集采影响；若单患者收入或高值耗材价格进一步承压，可能影响白内障业务收入和毛利率。</w:t>
      </w:r>
    </w:p>
    <w:p>
      <w:pPr>
        <w:pStyle w:val="ListParagraph"/>
        <w:numPr>
          <w:ilvl w:val="0"/>
          <w:numId w:val="2"/>
        </w:numPr>
        <w:spacing w:after="80" w:line="280"/>
      </w:pPr>
      <w:r>
        <w:rPr>
          <w:sz w:val="22"/>
          <w:szCs w:val="22"/>
        </w:rPr>
        <w:t xml:space="preserve">业务竞争与获客风险：公司在屈光和视光业务上面临爱尔眼科、华厦眼科、普瑞眼科、公立医院及本地专科机构竞争；若医生资源、品牌获客、服务体验或患者支付意愿不及竞争对手，高毛利业务增长可能放缓。</w:t>
      </w:r>
    </w:p>
    <w:p>
      <w:pPr>
        <w:pStyle w:val="ListParagraph"/>
        <w:numPr>
          <w:ilvl w:val="0"/>
          <w:numId w:val="2"/>
        </w:numPr>
        <w:spacing w:after="80" w:line="280"/>
      </w:pPr>
      <w:r>
        <w:rPr>
          <w:sz w:val="22"/>
          <w:szCs w:val="22"/>
        </w:rPr>
        <w:t xml:space="preserve">供应商集中风险：2025年前五大供应商采购额占年度采购总额41.88%，第一大供应商占20.25%；由于具体采购品类未披露，若集中采购涉及人工晶体、设备、药品或镜片等关键品类，供应商变动或采购条件变化可能影响成本和业务连续性。</w:t>
      </w:r>
    </w:p>
    <w:p>
      <w:pPr>
        <w:pStyle w:val="ListParagraph"/>
        <w:numPr>
          <w:ilvl w:val="0"/>
          <w:numId w:val="2"/>
        </w:numPr>
        <w:spacing w:after="80" w:line="280"/>
      </w:pPr>
      <w:r>
        <w:rPr>
          <w:sz w:val="22"/>
          <w:szCs w:val="22"/>
        </w:rPr>
        <w:t xml:space="preserve">资金运用及投资项目不确定性风险：公司拟使用闲置募集资金及自有资金开展现金管理，且参与认缴8000万元的医疗健康方向基金；相关议案、基金项目落地、投资回收周期及收益均存在不确定性，当前尚无已完成重大并购交易可贡献业绩。</w:t>
      </w:r>
    </w:p>
    <w:p>
      <w:pPr>
        <w:pStyle w:val="ListParagraph"/>
        <w:numPr>
          <w:ilvl w:val="0"/>
          <w:numId w:val="2"/>
        </w:numPr>
        <w:spacing w:after="80" w:line="280"/>
      </w:pPr>
      <w:r>
        <w:rPr>
          <w:sz w:val="22"/>
          <w:szCs w:val="22"/>
        </w:rPr>
        <w:t xml:space="preserve">估值与股价波动风险：截至2026年9月11日，公司动态市盈率约104倍，估值对较低利润基数较敏感；同时股价低于多条短期均线、MACD偏弱，若盈利修复不及预期或市场情绪走弱，股价可能继续承受波动压力。</w:t>
      </w:r>
    </w:p>
    <w:p>
      <w:pPr>
        <w:pStyle w:val="ListParagraph"/>
        <w:numPr>
          <w:ilvl w:val="0"/>
          <w:numId w:val="2"/>
        </w:numPr>
        <w:spacing w:after="80" w:line="280"/>
      </w:pPr>
      <w:r>
        <w:rPr>
          <w:sz w:val="22"/>
          <w:szCs w:val="22"/>
        </w:rPr>
        <w:t xml:space="preserve">技术数据时效性风险：部分MA、MACD、RSI及布林带指标页面未明确刷新日期，且不同行情平台的价格、估值和52周区间存在口径差异，因此技术信号和估值数据可能与最新市场状态不同步。</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公司增长逻辑主要来自屈光和视光等消费医疗业务扩张、辽宁区域品牌和医疗网络基础、直营与加盟视光网络建设，以及统一采购和运营效率改善。若省外新机构能够提升利用率、加盟门店实现有效复制，且高毛利业务占比继续提升，公司收入和盈利能力仍具改善空间；基金投资和现金管理则为资金使用及潜在并购储备提供了新的安排，但目前尚未形成已落地的重大并购成果或明确业绩贡献。</w:t>
      </w:r>
    </w:p>
    <w:p>
      <w:pPr>
        <w:spacing w:after="160" w:line="300"/>
      </w:pPr>
      <w:r>
        <w:rPr>
          <w:sz w:val="22"/>
          <w:szCs w:val="22"/>
        </w:rPr>
        <w:t xml:space="preserve">当前公司处于收入温和增长、利润承压且盈利质量仍待验证的阶段。2026年上半年经营活动现金流量净额同比下降13.05%，归母净利润同比下降，说明费用、运营效率、业务结构及新机构培育对利润的影响仍需跟踪。未来重点在于收入增长能否持续转化为扣非利润增长、股权激励费用影响是否下降、辽宁以外机构能否形成规模效应，以及白内障等医保相关业务能否应对支付和耗材价格压力。</w:t>
      </w:r>
    </w:p>
    <w:p>
      <w:pPr>
        <w:spacing w:after="160" w:line="300"/>
      </w:pPr>
      <w:r>
        <w:rPr>
          <w:sz w:val="22"/>
          <w:szCs w:val="22"/>
        </w:rPr>
        <w:t xml:space="preserve">公司不具备有效的机构一致盈利预测，且当前估值中盈利口径差异较大；技术面显示股价位于近52周相对低位，但弱势均线和成交承接不足仍表明市场对其盈利修复的确认度有限。后续应结合正式财报、经营现金流、业务分部表现、机构扩张效率及政策环境变化，动态评估其增长兑现程度和估值合理性。</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深圳证券交易所创业板上市公司列表 — https://zh.wikipedia.org/wiki/%E6%B7%B1%E5%9C%B3%E8%AF%81%E5%88%B8%E4%BA%A4%E6%98%93%E6%89%80%E5%88%9B%E4%B8%9A%E6%9D%BF%E4%B8%8A%E5%B8%82%E5%85%AC%E5%8F%B8%E5%88%97%E8%A1%A8?utm_source=openai</w:t>
      </w:r>
    </w:p>
    <w:p>
      <w:pPr>
        <w:spacing w:after="200"/>
      </w:pPr>
      <w:r>
        <w:rPr>
          <w:i/>
          <w:iCs/>
          <w:color w:val="595959"/>
          <w:sz w:val="18"/>
          <w:szCs w:val="18"/>
        </w:rPr>
        <w:t xml:space="preserve">https://static.cninfo.com.cn/finalpage/2026-04-25/1225192459.PDF — https://static.cninfo.com.cn/finalpage/2026-04-25/1225192459.PDF</w:t>
      </w:r>
    </w:p>
    <w:p>
      <w:pPr>
        <w:spacing w:after="200"/>
      </w:pPr>
      <w:r>
        <w:rPr>
          <w:i/>
          <w:iCs/>
          <w:color w:val="595959"/>
          <w:sz w:val="18"/>
          <w:szCs w:val="18"/>
        </w:rPr>
        <w:t xml:space="preserve">https://static.cninfo.com.cn/finalpage/2024-04-26/1219826135.PDF — https://static.cninfo.com.cn/finalpage/2024-04-26/1219826135.PDF</w:t>
      </w:r>
    </w:p>
    <w:p>
      <w:pPr>
        <w:spacing w:after="200"/>
      </w:pPr>
      <w:r>
        <w:rPr>
          <w:i/>
          <w:iCs/>
          <w:color w:val="595959"/>
          <w:sz w:val="18"/>
          <w:szCs w:val="18"/>
        </w:rPr>
        <w:t xml:space="preserve">何氏眼科(301103)_公司公告_何氏眼科：2024年年度报告新浪财经_新浪网 — https://money.finance.sina.com.cn/corp/view/vCB_AllBulletinDetail.php?id=10957122&amp;stockid=301103&amp;utm_source=openai</w:t>
      </w:r>
    </w:p>
    <w:p>
      <w:pPr>
        <w:spacing w:after="200"/>
      </w:pPr>
      <w:r>
        <w:rPr>
          <w:i/>
          <w:iCs/>
          <w:color w:val="595959"/>
          <w:sz w:val="18"/>
          <w:szCs w:val="18"/>
        </w:rPr>
        <w:t xml:space="preserve">辽宁何氏眼科医院集团股份有限公司　　　　　　　　　　　　　　　　　　　　　　　　　招股说明书（申报稿） — https://pdf.dfcfw.com/pdf/H2_AN202007291395112958_1.pdf?utm_source=openai</w:t>
      </w:r>
    </w:p>
    <w:p>
      <w:pPr>
        <w:spacing w:after="200"/>
      </w:pPr>
      <w:r>
        <w:rPr>
          <w:i/>
          <w:iCs/>
          <w:color w:val="595959"/>
          <w:sz w:val="18"/>
          <w:szCs w:val="18"/>
        </w:rPr>
        <w:t xml:space="preserve">华厦眼科医院集团股份有限公司 2025 年年度报告全文 — https://static.cninfo.com.cn/finalpage/2026-04-28/1225216267.PDF?utm_source=openai</w:t>
      </w:r>
    </w:p>
    <w:p>
      <w:pPr>
        <w:spacing w:after="200"/>
      </w:pPr>
      <w:r>
        <w:rPr>
          <w:i/>
          <w:iCs/>
          <w:color w:val="595959"/>
          <w:sz w:val="18"/>
          <w:szCs w:val="18"/>
        </w:rPr>
        <w:t xml:space="preserve">普瑞眼科医院集团股份有限公司 2025 年年度报告全文 — https://static.cninfo.com.cn/finalpage/2026-04-28/1225210802.PDF?utm_source=openai</w:t>
      </w:r>
    </w:p>
    <w:p>
      <w:pPr>
        <w:spacing w:after="200"/>
      </w:pPr>
      <w:r>
        <w:rPr>
          <w:i/>
          <w:iCs/>
          <w:color w:val="595959"/>
          <w:sz w:val="18"/>
          <w:szCs w:val="18"/>
        </w:rPr>
        <w:t xml:space="preserve">何氏眼科(301103)_公司公告_何氏眼科：2026年半年度报告摘要新浪财经_新浪网 — https://vip.stock.finance.sina.com.cn/corp/view/vCB_AllBulletinDetail.php?id=12556078&amp;stockid=301103</w:t>
      </w:r>
    </w:p>
    <w:p>
      <w:pPr>
        <w:spacing w:after="200"/>
      </w:pPr>
      <w:r>
        <w:rPr>
          <w:i/>
          <w:iCs/>
          <w:color w:val="595959"/>
          <w:sz w:val="18"/>
          <w:szCs w:val="18"/>
        </w:rPr>
        <w:t xml:space="preserve">何氏眼科(301103)_公司公告_何氏眼科：2025年年度报告新浪财经_新浪网 — https://money.finance.sina.com.cn/corp/view/vCB_AllBulletinDetail.php?id=12197429&amp;stockid=301103&amp;utm_source=openai</w:t>
      </w:r>
    </w:p>
    <w:p>
      <w:pPr>
        <w:spacing w:after="200"/>
      </w:pPr>
      <w:r>
        <w:rPr>
          <w:i/>
          <w:iCs/>
          <w:color w:val="595959"/>
          <w:sz w:val="18"/>
          <w:szCs w:val="18"/>
        </w:rPr>
        <w:t xml:space="preserve">辽宁何氏眼科医院集团股份有限公司2025 年第一季度报告 — https://pdf.dfcfw.com/pdf/H2_AN202504241661647477_1.pdf?1745513798000.pdf=&amp;utm_source=openai</w:t>
      </w:r>
    </w:p>
    <w:p>
      <w:pPr>
        <w:spacing w:after="200"/>
      </w:pPr>
      <w:r>
        <w:rPr>
          <w:i/>
          <w:iCs/>
          <w:color w:val="595959"/>
          <w:sz w:val="18"/>
          <w:szCs w:val="18"/>
        </w:rPr>
        <w:t xml:space="preserve">何氏眼科(301103) 盈利预测_F10_同花顺金融服务网 — https://basic.10jqka.com.cn/301103/worth.html?utm_source=openai</w:t>
      </w:r>
    </w:p>
    <w:p>
      <w:pPr>
        <w:spacing w:after="200"/>
      </w:pPr>
      <w:r>
        <w:rPr>
          <w:i/>
          <w:iCs/>
          <w:color w:val="595959"/>
          <w:sz w:val="18"/>
          <w:szCs w:val="18"/>
        </w:rPr>
        <w:t xml:space="preserve">[国泰君安证券]：2024年三季报点评：短期增长承压，蒲公英分院发展顺利 - 发现报告 — https://www.fxbaogao.com/detail/4574163?utm_source=openai</w:t>
      </w:r>
    </w:p>
    <w:p>
      <w:pPr>
        <w:spacing w:after="200"/>
      </w:pPr>
      <w:r>
        <w:rPr>
          <w:i/>
          <w:iCs/>
          <w:color w:val="595959"/>
          <w:sz w:val="18"/>
          <w:szCs w:val="18"/>
        </w:rPr>
        <w:t xml:space="preserve">B17
信息披露
Disclosure
2025年12月6日星期六
zqsb@stcn.com (0 — https://epaper.stcn.com/att/202512/06/ZQ06B017-HJ_eBook.pdf?utm_source=openai</w:t>
      </w:r>
    </w:p>
    <w:p>
      <w:pPr>
        <w:spacing w:after="200"/>
      </w:pPr>
      <w:r>
        <w:rPr>
          <w:i/>
          <w:iCs/>
          <w:color w:val="595959"/>
          <w:sz w:val="18"/>
          <w:szCs w:val="18"/>
        </w:rPr>
        <w:t xml:space="preserve">何氏眼科（301103）周评：本周涨4.38%，主力资金合计净流出347.21万元_数据周评_数据解析_股票_证券之星 — https://wap.stockstar.com/detail/RB2026080900008310?utm_source=openai</w:t>
      </w:r>
    </w:p>
    <w:p>
      <w:pPr>
        <w:spacing w:after="200"/>
      </w:pPr>
      <w:r>
        <w:rPr>
          <w:i/>
          <w:iCs/>
          <w:color w:val="595959"/>
          <w:sz w:val="18"/>
          <w:szCs w:val="18"/>
        </w:rPr>
        <w:t xml:space="preserve">证券研究报告 
2022 年09 月13 日 
投资评级： 
行    业： 
医疗服务 — https://bigdata-s3.wmcloud.com/researchreport/2022-09/8873315c9cda0f9685b3bf8edecec92f.pdf?utm_source=openai</w:t>
      </w:r>
    </w:p>
    <w:p>
      <w:pPr>
        <w:spacing w:after="200"/>
      </w:pPr>
      <w:r>
        <w:rPr>
          <w:i/>
          <w:iCs/>
          <w:color w:val="595959"/>
          <w:sz w:val="18"/>
          <w:szCs w:val="18"/>
        </w:rPr>
        <w:t xml:space="preserve">何氏眼科(301103)股票历史数据:历史行情,价格,走势图表_英为财情Investing.com — https://cn.investing.com/equities/liaoning-he-eye-hospital-historical-data?utm_source=openai</w:t>
      </w:r>
    </w:p>
    <w:p>
      <w:pPr>
        <w:spacing w:after="200"/>
      </w:pPr>
      <w:r>
        <w:rPr>
          <w:i/>
          <w:iCs/>
          <w:color w:val="595959"/>
          <w:sz w:val="18"/>
          <w:szCs w:val="18"/>
        </w:rPr>
        <w:t xml:space="preserve">何氏眼科(301103) 最新动态_F10_同花顺金融服务网 — https://basic.10jqka.com.cn/301103/?utm_source=openai</w:t>
      </w:r>
    </w:p>
    <w:p>
      <w:pPr>
        <w:spacing w:after="200"/>
      </w:pPr>
      <w:r>
        <w:rPr>
          <w:i/>
          <w:iCs/>
          <w:color w:val="595959"/>
          <w:sz w:val="18"/>
          <w:szCs w:val="18"/>
        </w:rPr>
        <w:t xml:space="preserve">何氏眼科(SZ301103)股票股价_股价行情_财报_数据报告 - 雪球 — https://xueqiu.com/S/SZ301103/hots?utm_source=openai</w:t>
      </w:r>
    </w:p>
    <w:p>
      <w:pPr>
        <w:spacing w:after="200"/>
      </w:pPr>
      <w:r>
        <w:rPr>
          <w:i/>
          <w:iCs/>
          <w:color w:val="595959"/>
          <w:sz w:val="18"/>
          <w:szCs w:val="18"/>
        </w:rPr>
        <w:t xml:space="preserve">何氏眼科(301103)市盈率|估值|基本面 - 理杏仁 — https://www.lixinger.com/equity/company/detail/sz/301103/301103/fundamental/valuation/pe-ttm?utm_source=openai</w:t>
      </w:r>
    </w:p>
    <w:p>
      <w:pPr>
        <w:spacing w:after="200"/>
      </w:pPr>
      <w:r>
        <w:rPr>
          <w:i/>
          <w:iCs/>
          <w:color w:val="595959"/>
          <w:sz w:val="18"/>
          <w:szCs w:val="18"/>
        </w:rPr>
        <w:t xml:space="preserve">辽宁何氏眼科医院集团股份有限公司 2026 年半年度报告摘要 — https://static.cninfo.com.cn/finalpage/2026-08-28/1225516020.PDF?utm_source=openai</w:t>
      </w:r>
    </w:p>
    <w:p>
      <w:pPr>
        <w:spacing w:after="200"/>
      </w:pPr>
      <w:r>
        <w:rPr>
          <w:i/>
          <w:iCs/>
          <w:color w:val="595959"/>
          <w:sz w:val="18"/>
          <w:szCs w:val="18"/>
        </w:rPr>
        <w:t xml:space="preserve">何氏眼科(301103)_公司公告_何氏眼科：投资者关系管理信息20260911新浪财经_新浪网 — https://money.finance.sina.com.cn/corp/view/vCB_AllBulletinDetail.php?id=12597697&amp;stockid=301103&amp;utm_source=openai</w:t>
      </w:r>
    </w:p>
    <w:p>
      <w:pPr>
        <w:spacing w:after="200"/>
      </w:pPr>
      <w:r>
        <w:rPr>
          <w:i/>
          <w:iCs/>
          <w:color w:val="595959"/>
          <w:sz w:val="18"/>
          <w:szCs w:val="18"/>
        </w:rPr>
        <w:t xml:space="preserve">证券代码：301103  证券简称：何氏眼科  公告编号：2026-002 — https://static.cninfo.com.cn/finalpage/2026-01-19/1224938702.PDF?utm_source=openai</w:t>
      </w:r>
    </w:p>
    <w:p>
      <w:pPr>
        <w:spacing w:after="200"/>
      </w:pPr>
      <w:r>
        <w:rPr>
          <w:i/>
          <w:iCs/>
          <w:color w:val="595959"/>
          <w:sz w:val="18"/>
          <w:szCs w:val="18"/>
        </w:rPr>
        <w:t xml:space="preserve">证券代码：301103  证券简称：何氏眼科  公告编号：2026-024 — https://static.cninfo.com.cn/finalpage/2026-05-07/1225282066.PDF?utm_source=openai</w:t>
      </w:r>
    </w:p>
    <w:p>
      <w:pPr>
        <w:spacing w:after="200"/>
      </w:pPr>
      <w:r>
        <w:rPr>
          <w:i/>
          <w:iCs/>
          <w:color w:val="595959"/>
          <w:sz w:val="18"/>
          <w:szCs w:val="18"/>
        </w:rPr>
        <w:t xml:space="preserve">何氏眼科(301103)_公司公告_何氏眼科：2026年半年度报告摘要新浪财经_新浪网 — https://vip.stock.finance.sina.com.cn/corp/view/vCB_AllBulletinDetail.php?id=12556078&amp;stockid=301103&amp;utm_source=openai</w:t>
      </w:r>
    </w:p>
    <w:p>
      <w:pPr>
        <w:spacing w:after="200"/>
      </w:pPr>
      <w:r>
        <w:rPr>
          <w:i/>
          <w:iCs/>
          <w:color w:val="595959"/>
          <w:sz w:val="18"/>
          <w:szCs w:val="18"/>
        </w:rPr>
        <w:t xml:space="preserve">何氏眼科(301103)_公司公告_何氏眼科：关于与专业投资机构共同投资基金进展的公告新浪财经_新浪网 — https://money.finance.sina.com.cn/corp/view/vCB_AllBulletinDetail.php?id=12451643&amp;stockid=301103&amp;utm_source=openai</w:t>
      </w:r>
    </w:p>
    <w:p>
      <w:pPr>
        <w:spacing w:after="200"/>
      </w:pPr>
      <w:r>
        <w:rPr>
          <w:i/>
          <w:iCs/>
          <w:color w:val="595959"/>
          <w:sz w:val="18"/>
          <w:szCs w:val="18"/>
        </w:rPr>
        <w:t xml:space="preserve">晓经济-何氏眼科 — https://www.xiaojingji.com/stock/one/notice?code=301103&amp;type=5&amp;utm_source=openai</w:t>
      </w:r>
    </w:p>
    <w:p>
      <w:pPr>
        <w:spacing w:after="200"/>
      </w:pPr>
      <w:r>
        <w:rPr>
          <w:i/>
          <w:iCs/>
          <w:color w:val="595959"/>
          <w:sz w:val="18"/>
          <w:szCs w:val="18"/>
        </w:rPr>
        <w:t xml:space="preserve">的募集、工商变更登记以及在中国证券投资基金业协会的备案等前置程序后方可正式运作。因此投资基金是否能够备案成功、最终募集规模以及后续的投资进度均存在不确定性，敬请广大投资者注意投资风险。 — https://static.cninfo.com.cn/finalpage/2026-01-29/1224956785.PDF?utm_source=openai</w:t>
      </w:r>
    </w:p>
    <w:p>
      <w:pPr>
        <w:spacing w:after="200"/>
      </w:pPr>
      <w:r>
        <w:rPr>
          <w:i/>
          <w:iCs/>
          <w:color w:val="595959"/>
          <w:sz w:val="18"/>
          <w:szCs w:val="18"/>
        </w:rPr>
        <w:t xml:space="preserve">何氏眼科(301103)_公司公告_何氏眼科：关于使用部分闲置募集资金(含超募资金)及自有资金进行现金管理的公告新浪财经_新浪网 — https://money.finance.sina.com.cn/corp/view/vCB_AllBulletinDetail.php?id=12556077&amp;stockid=301103&amp;utm_source=openai</w:t>
      </w:r>
    </w:p>
    <w:p>
      <w:pPr>
        <w:spacing w:after="200"/>
      </w:pPr>
      <w:r>
        <w:rPr>
          <w:i/>
          <w:iCs/>
          <w:color w:val="595959"/>
          <w:sz w:val="18"/>
          <w:szCs w:val="18"/>
        </w:rPr>
        <w:t xml:space="preserve">何氏眼科: 关于董事会完成换届选举及聘任高级管理人员、证券事务代表的公告_股票频道_证券之星 — https://stock.stockstar.com/notice/SN2026080700000612.shtml?utm_source=openai</w:t>
      </w:r>
    </w:p>
    <w:p>
      <w:pPr>
        <w:spacing w:after="200"/>
      </w:pPr>
      <w:r>
        <w:rPr>
          <w:i/>
          <w:iCs/>
          <w:color w:val="595959"/>
          <w:sz w:val="18"/>
          <w:szCs w:val="18"/>
        </w:rPr>
        <w:t xml:space="preserve">辽宁何氏眼科医院集团股份有限公司 2025 年年度报告全文 — https://static.cninfo.com.cn/finalpage/2026-04-25/1225192459.PDF?utm_source=openai</w:t>
      </w:r>
    </w:p>
    <w:p>
      <w:pPr>
        <w:spacing w:after="200"/>
      </w:pPr>
      <w:r>
        <w:rPr>
          <w:i/>
          <w:iCs/>
          <w:color w:val="595959"/>
          <w:sz w:val="18"/>
          <w:szCs w:val="18"/>
        </w:rPr>
        <w:t xml:space="preserve">何氏眼科(301103)_股票行情，行情首页_中财网 — https://quote.cfi.cn/quote_301103.html?utm_source=openai</w:t>
      </w:r>
    </w:p>
    <w:p>
      <w:pPr>
        <w:spacing w:after="200"/>
      </w:pPr>
      <w:r>
        <w:rPr>
          <w:i/>
          <w:iCs/>
          <w:color w:val="595959"/>
          <w:sz w:val="18"/>
          <w:szCs w:val="18"/>
        </w:rPr>
        <w:t xml:space="preserve">何氏眼科(301103.SZ) 股票行情_历史数据_主力资金 - 大波浪数据 — https://www.yyqyx.com/s/301103.SZ</w:t>
      </w:r>
    </w:p>
    <w:p>
      <w:pPr>
        <w:spacing w:after="200"/>
      </w:pPr>
      <w:r>
        <w:rPr>
          <w:i/>
          <w:iCs/>
          <w:color w:val="595959"/>
          <w:sz w:val="18"/>
          <w:szCs w:val="18"/>
        </w:rPr>
        <w:t xml:space="preserve">何氏眼科(301103)股票历史数据:历史行情,价格,走势图表_英为财情Investing.com — https://cn.investing.com/equities/liaoning-he-eye-hospital-historical-data</w:t>
      </w:r>
    </w:p>
    <w:p>
      <w:pPr>
        <w:spacing w:after="200"/>
      </w:pPr>
      <w:r>
        <w:rPr>
          <w:i/>
          <w:iCs/>
          <w:color w:val="595959"/>
          <w:sz w:val="18"/>
          <w:szCs w:val="18"/>
        </w:rPr>
        <w:t xml:space="preserve">何氏眼科(301103) 最新动态_F10_同花顺金融服务网 — https://basic.10jqka.com.cn/301103/</w:t>
      </w:r>
    </w:p>
    <w:p>
      <w:pPr>
        <w:spacing w:after="200"/>
      </w:pPr>
      <w:r>
        <w:rPr>
          <w:i/>
          <w:iCs/>
          <w:color w:val="595959"/>
          <w:sz w:val="18"/>
          <w:szCs w:val="18"/>
        </w:rPr>
        <w:t xml:space="preserve">本报告由AI基于公开渠道信息自动检索、整理并生成，信息截至 截至2026年9月11日收盘；部分技术指标页面未明确标注刷新日期，可能与最新收盘数据不同步。，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2026-09-13T11:42:40.978Z</dcterms:created>
  <dcterms:modified xsi:type="dcterms:W3CDTF">2026-09-13T11:42:40.978Z</dcterms:modified>
</cp:coreProperties>
</file>

<file path=docProps/custom.xml><?xml version="1.0" encoding="utf-8"?>
<Properties xmlns="http://schemas.openxmlformats.org/officeDocument/2006/custom-properties" xmlns:vt="http://schemas.openxmlformats.org/officeDocument/2006/docPropsVTypes"/>
</file>