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中远海运能源运输股份有限公司（中远海能） (600026)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行业：能源海运与液货运输</w:t>
      </w:r>
    </w:p>
    <w:p>
      <w:pPr>
        <w:jc w:val="center"/>
      </w:pPr>
      <w:r>
        <w:rPr>
          <w:color w:val="595959"/>
          <w:sz w:val="22"/>
          <w:szCs w:val="22"/>
        </w:rPr>
        <w:t xml:space="preserve">报告日期：2026年9月14日</w:t>
      </w:r>
    </w:p>
    <w:p>
      <w:pPr>
        <w:jc w:val="center"/>
      </w:pPr>
      <w:r>
        <w:rPr>
          <w:color w:val="595959"/>
          <w:sz w:val="20"/>
          <w:szCs w:val="20"/>
        </w:rPr>
        <w:t xml:space="preserve">行情及技术指标主要截至2026年9月11日收盘；股东集中度数据截至2026年6月30日，存在约两个半月时滞。2026年9月12—13日为周末，未产生新的A股收盘价。</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远海能2026年上半年业绩显著改善：营业收入151.46亿元，同比增长30.03%；归母净利润45.45亿元，同比增长143.21%；扣非归母净利润44.49亿元，同比增长150.88%。利润增长主要由国际油运市场景气度提升驱动，LNG业务同期收入约15.20亿元、归母净利润约5.12亿元，虽保持增长但并非本轮利润跃升的主要来源。半年度报告未经审计，且油运景气具有较强周期性，当前业绩高增不宜直接外推为全年及未来年度的确定性增长。</w:t>
      </w:r>
    </w:p>
    <w:p>
      <w:pPr>
        <w:spacing w:after="160" w:line="300"/>
      </w:pPr>
      <w:r>
        <w:rPr>
          <w:sz w:val="22"/>
          <w:szCs w:val="22"/>
        </w:rPr>
        <w:t xml:space="preserve">公司业务结构以外贸油运为核心，2024年外贸油运收入145.74亿元，占主营业务收入约62.7%，但毛利率同比下降5个百分点至24.6%；内贸油运依靠COA合同锁定91%以上基础货源，LNG运输毛利率约48.3%，共同对冲部分国际现货运价波动。公司截至2024年末拥有及控制油轮159艘、2,374万载重吨，另有12艘在建，并持续推进VLCC、LPG及LNG船队投资，未来增长取决于运价周期、运力投放、长期合同执行及资本成本控制。</w:t>
      </w:r>
    </w:p>
    <w:p>
      <w:pPr>
        <w:spacing w:after="160" w:line="300"/>
      </w:pPr>
      <w:r>
        <w:rPr>
          <w:sz w:val="22"/>
          <w:szCs w:val="22"/>
        </w:rPr>
        <w:t xml:space="preserve">市场估值呈现明显的周期特征：截至2026年9月11日，股价收于20.86元，动态市盈率约12.54倍，但不同平台的估值口径存在差异；按机构预测，2026年归母净利润主流预期约110—122亿元，对应前瞻估值约9—10倍。该低前瞻估值建立在油运高景气延续的假设上，机构预测并非公司业绩指引，且不同机构对运价、地缘政治、船队供给和股本假设存在差异。</w:t>
      </w:r>
    </w:p>
    <w:p>
      <w:pPr>
        <w:spacing w:after="160" w:line="300"/>
      </w:pPr>
      <w:r>
        <w:rPr>
          <w:sz w:val="22"/>
          <w:szCs w:val="22"/>
        </w:rPr>
        <w:t xml:space="preserve">技术面上，股价经历8月中旬以来快速上涨后于21元上方冲高回落，当前略低于MA5和MA10，但仍高于MA20约19.37元；MACD位于零轴上方、RSI约54.19，表明中期上升结构尚未完全破坏，但短线动能有所降温。21.40—21.96元为近期压力观察区间，20.20—20.60元及19.60—19.90元为下方支撑观察区间，后续走势仍需结合成交额、换手率、资金流向及油运市场变化判断。</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600026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中远海能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公司原名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中海发展股份有限公司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间接控股股东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中国远洋海运集团有限公司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国务院国资委</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报告期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2024年1月1日至2024年12月31日；船队规模及业务结构数据主要截至2024年12月31日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2024年主营业务收入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232.32亿元，同比增长2.5%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2024年主营业务成本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168.92亿元，同比增长5.8%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2024年主营业务综合毛利率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26.9%，同比下降2.2个百分点</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2024年运输规模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运输量约1.804亿吨，运输周转量约6,040亿吨海里</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油轮船队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截至2024年末，拥有及控制油轮159艘、2,374万载重吨；另有12艘在建油轮、236.4万载重吨。若合并集团、合营及联营船队，约176艘、2,488万载重吨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LNG船队及项目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参与投资建造的LNG船舶项目共87艘，其中50艘已投入运营，合计约842万立方米；另有1艘光租LNG船投入运营，约17.4万立方米</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化学品船队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截至2024年末共有化学品运输船8艘，约7.294万吨载重吨，另有1艘、1.15万吨在建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新增VLCC建造合同</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2024年11月批准并签订6艘、合计30.7万载重吨VLCC建造合同，总价约57.48亿元人民币</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外贸油运：承运国际原油和成品油，采用即期租船、期租、程租、COA等模式，航线覆盖中东、非洲、大西洋、欧洲和亚洲等市场。2024年收入145.74亿元，占主营业务收入约62.7%；毛利35.86亿元，毛利率24.6%，同比下降5.0个百分点。</w:t>
      </w:r>
    </w:p>
    <w:p>
      <w:pPr>
        <w:pStyle w:val="ListParagraph"/>
        <w:numPr>
          <w:ilvl w:val="0"/>
          <w:numId w:val="2"/>
        </w:numPr>
        <w:spacing w:after="80" w:line="280"/>
      </w:pPr>
      <w:r>
        <w:rPr>
          <w:sz w:val="22"/>
          <w:szCs w:val="22"/>
        </w:rPr>
        <w:t xml:space="preserve">内贸油运：服务中国沿海原油、成品油运输，客户包括国内石油公司、炼厂及能源企业。2024年收入约59.09亿元，占主营业务收入约25.4%；毛利14.75亿元，毛利率约25.0%。公司披露，2024年通过COA合同锁定内贸油运91%以上的基础货源。</w:t>
      </w:r>
    </w:p>
    <w:p>
      <w:pPr>
        <w:pStyle w:val="ListParagraph"/>
        <w:numPr>
          <w:ilvl w:val="0"/>
          <w:numId w:val="2"/>
        </w:numPr>
        <w:spacing w:after="80" w:line="280"/>
      </w:pPr>
      <w:r>
        <w:rPr>
          <w:sz w:val="22"/>
          <w:szCs w:val="22"/>
        </w:rPr>
        <w:t xml:space="preserve">LNG运输：参与投资建造并运营大型LNG运输船，主要依托大型能源项目、长期租船合同和项目锁定。2024年收入22.29亿元，占主营业务收入约9.6%；毛利率约48.3%。</w:t>
      </w:r>
    </w:p>
    <w:p>
      <w:pPr>
        <w:pStyle w:val="ListParagraph"/>
        <w:numPr>
          <w:ilvl w:val="0"/>
          <w:numId w:val="2"/>
        </w:numPr>
        <w:spacing w:after="80" w:line="280"/>
      </w:pPr>
      <w:r>
        <w:rPr>
          <w:sz w:val="22"/>
          <w:szCs w:val="22"/>
        </w:rPr>
        <w:t xml:space="preserve">LPG运输：承运LPG、丙烯、丁二烯等液化气及相关化工气体，覆盖国内沿海和国际运输。2024年收入2.06亿元，占主营业务收入约0.9%；毛利率约25.2%。</w:t>
      </w:r>
    </w:p>
    <w:p>
      <w:pPr>
        <w:pStyle w:val="ListParagraph"/>
        <w:numPr>
          <w:ilvl w:val="0"/>
          <w:numId w:val="2"/>
        </w:numPr>
        <w:spacing w:after="80" w:line="280"/>
      </w:pPr>
      <w:r>
        <w:rPr>
          <w:sz w:val="22"/>
          <w:szCs w:val="22"/>
        </w:rPr>
        <w:t xml:space="preserve">化学品运输：从事散装液体化学品国内沿海及国际水上运输，涉及东南亚、东北亚外贸航线及内贸沿海航线。2024年收入3.14亿元，占主营业务收入约1.4%；毛利率约16.9%。</w:t>
      </w:r>
    </w:p>
    <w:p>
      <w:pPr>
        <w:pStyle w:val="ListParagraph"/>
        <w:numPr>
          <w:ilvl w:val="0"/>
          <w:numId w:val="2"/>
        </w:numPr>
        <w:spacing w:after="80" w:line="280"/>
      </w:pPr>
      <w:r>
        <w:rPr>
          <w:sz w:val="22"/>
          <w:szCs w:val="22"/>
        </w:rPr>
        <w:t xml:space="preserve">注：上述分项收入合计与主营业务收入存在小额口径差异，可能与分部列示、租赁及其他业务分类有关，具体以公司年报分部注释为准；收入占比为根据年报数据计算的近似值。</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远海能处于能源海运产业链中游，是以自有、控股、合营及联营船舶承运原油、成品油、LNG、LPG及散装液体化学品的重资产运输服务商。外贸油运对国际运价周期敏感，内贸油运和LNG业务则通过COA、期租及长期项目合同提供一定稳定性。</w:t>
      </w:r>
    </w:p>
    <w:p>
      <w:pPr>
        <w:pStyle w:val="ListParagraph"/>
        <w:numPr>
          <w:ilvl w:val="0"/>
          <w:numId w:val="2"/>
        </w:numPr>
        <w:spacing w:after="80" w:line="280"/>
      </w:pPr>
      <w:r>
        <w:rPr>
          <w:sz w:val="22"/>
          <w:szCs w:val="22"/>
        </w:rPr>
        <w:t xml:space="preserve">船舶燃油是油品运输的主要成本来源。2024年油品运输燃料费约53.35亿元，占油品运输成本34.8%。燃油价格受国际油价、船用燃料油供需及港口区域价差影响，公司总体属于燃油成本价格接受者，主要通过经济航速、节能技术、集中采购和航线优化降低单位消耗。</w:t>
      </w:r>
    </w:p>
    <w:p>
      <w:pPr>
        <w:pStyle w:val="ListParagraph"/>
        <w:numPr>
          <w:ilvl w:val="0"/>
          <w:numId w:val="2"/>
        </w:numPr>
        <w:spacing w:after="80" w:line="280"/>
      </w:pPr>
      <w:r>
        <w:rPr>
          <w:sz w:val="22"/>
          <w:szCs w:val="22"/>
        </w:rPr>
        <w:t xml:space="preserve">船舶折旧和资本成本较高。2024年油品运输折旧费约29.11亿元，占油品运输成本19.0%；LNG运输折旧费约5.33亿元，占LNG运输成本46.2%。LNG折旧占比较高与船舶造价高、建设周期长及项目型运营模式有关。</w:t>
      </w:r>
    </w:p>
    <w:p>
      <w:pPr>
        <w:pStyle w:val="ListParagraph"/>
        <w:numPr>
          <w:ilvl w:val="0"/>
          <w:numId w:val="2"/>
        </w:numPr>
        <w:spacing w:after="80" w:line="280"/>
      </w:pPr>
      <w:r>
        <w:rPr>
          <w:sz w:val="22"/>
          <w:szCs w:val="22"/>
        </w:rPr>
        <w:t xml:space="preserve">船舶租赁是重要成本项目。2024年油品运输船舶租费约25.57亿元，占油品运输成本16.7%，同比增长35.0%，主要由于新增期租租入VLCC船舶。租船有助于快速扩大运力，但会放大租金上行期的成本压力。</w:t>
      </w:r>
    </w:p>
    <w:p>
      <w:pPr>
        <w:pStyle w:val="ListParagraph"/>
        <w:numPr>
          <w:ilvl w:val="0"/>
          <w:numId w:val="2"/>
        </w:numPr>
        <w:spacing w:after="80" w:line="280"/>
      </w:pPr>
      <w:r>
        <w:rPr>
          <w:sz w:val="22"/>
          <w:szCs w:val="22"/>
        </w:rPr>
        <w:t xml:space="preserve">船员、港口和维修服务具有一定刚性。2024年油品运输成本中，船员费约14.9%、港口费约5.7%、修理费约2.6%，在行业低景气时期可能对利润形成压力。</w:t>
      </w:r>
    </w:p>
    <w:p>
      <w:pPr>
        <w:pStyle w:val="ListParagraph"/>
        <w:numPr>
          <w:ilvl w:val="0"/>
          <w:numId w:val="2"/>
        </w:numPr>
        <w:spacing w:after="80" w:line="280"/>
      </w:pPr>
      <w:r>
        <w:rPr>
          <w:sz w:val="22"/>
          <w:szCs w:val="22"/>
        </w:rPr>
        <w:t xml:space="preserve">供应商集中度较高。公司披露，2024年前五名供应商采购额占年度采购总额81.6%，其中间接控股股东中国远洋海运集团有限公司相关采购占52.0%。相关采购和服务包括船运物料、船员租赁等；集团可在燃油集中采购、港口使费、船舶维修、物流网络及航运金融方面提供协同。</w:t>
      </w:r>
    </w:p>
    <w:p>
      <w:pPr>
        <w:pStyle w:val="ListParagraph"/>
        <w:numPr>
          <w:ilvl w:val="0"/>
          <w:numId w:val="2"/>
        </w:numPr>
        <w:spacing w:after="80" w:line="280"/>
      </w:pPr>
      <w:r>
        <w:rPr>
          <w:sz w:val="22"/>
          <w:szCs w:val="22"/>
        </w:rPr>
        <w:t xml:space="preserve">公司对主要燃油、船舶租赁及部分航运服务成本缺乏单方面定价权，整体更接近成本价格接受者；集团采购协同有助于降低交易成本，但关联采购比例较高，需要关注关联交易定价公允性及对单一集团体系的依赖。</w:t>
      </w:r>
    </w:p>
    <w:p>
      <w:pPr>
        <w:pStyle w:val="ListParagraph"/>
        <w:numPr>
          <w:ilvl w:val="0"/>
          <w:numId w:val="2"/>
        </w:numPr>
        <w:spacing w:after="80" w:line="280"/>
      </w:pPr>
      <w:r>
        <w:rPr>
          <w:sz w:val="22"/>
          <w:szCs w:val="22"/>
        </w:rPr>
        <w:t xml:space="preserve">下游客户包括国内石油央企及炼厂、国际石油公司和贸易商、LNG项目业主及能源进口商、大型天然气企业，以及化工品生产商、贸易商和液化气客户。</w:t>
      </w:r>
    </w:p>
    <w:p>
      <w:pPr>
        <w:pStyle w:val="ListParagraph"/>
        <w:numPr>
          <w:ilvl w:val="0"/>
          <w:numId w:val="2"/>
        </w:numPr>
        <w:spacing w:after="80" w:line="280"/>
      </w:pPr>
      <w:r>
        <w:rPr>
          <w:sz w:val="22"/>
          <w:szCs w:val="22"/>
        </w:rPr>
        <w:t xml:space="preserve">外贸油运主要受国际运价基准约束，公司很难单方面提高价格，盈利取决于船队规模、船型结构、客户质量、航线组织能力和市场周期把握。</w:t>
      </w:r>
    </w:p>
    <w:p>
      <w:pPr>
        <w:pStyle w:val="ListParagraph"/>
        <w:numPr>
          <w:ilvl w:val="0"/>
          <w:numId w:val="2"/>
        </w:numPr>
        <w:spacing w:after="80" w:line="280"/>
      </w:pPr>
      <w:r>
        <w:rPr>
          <w:sz w:val="22"/>
          <w:szCs w:val="22"/>
        </w:rPr>
        <w:t xml:space="preserve">内贸油运更多依靠COA和长期基础货源。公司披露，2024年内贸油运通过与多家核心客户签订COA合同，锁定91%以上基础货源，因而对业绩具有一定安全垫作用。</w:t>
      </w:r>
    </w:p>
    <w:p>
      <w:pPr>
        <w:pStyle w:val="ListParagraph"/>
        <w:numPr>
          <w:ilvl w:val="0"/>
          <w:numId w:val="2"/>
        </w:numPr>
        <w:spacing w:after="80" w:line="280"/>
      </w:pPr>
      <w:r>
        <w:rPr>
          <w:sz w:val="22"/>
          <w:szCs w:val="22"/>
        </w:rPr>
        <w:t xml:space="preserve">LNG运输主要依托大型能源项目、期租及长期合同，客户和项目获取能力、船舶建造管理能力及融资能力构成重要竞争壁垒，收入稳定性通常高于完全暴露于现货市场的油轮业务。</w:t>
      </w:r>
    </w:p>
    <w:p>
      <w:pPr>
        <w:pStyle w:val="ListParagraph"/>
        <w:numPr>
          <w:ilvl w:val="0"/>
          <w:numId w:val="2"/>
        </w:numPr>
        <w:spacing w:after="80" w:line="280"/>
      </w:pPr>
      <w:r>
        <w:rPr>
          <w:sz w:val="22"/>
          <w:szCs w:val="22"/>
        </w:rPr>
        <w:t xml:space="preserve">公司年报未认定报告期内存在向单个客户销售比例超过50%或严重依赖少数客户的情况。同花顺F10显示，2024年前五大客户销售额约122亿元、占营业收入52.6%，但该数据未在本次查阅的年报文本中交叉核对，属于单一二手数据，具体以公司年报客户集中度披露为准。</w:t>
      </w:r>
    </w:p>
    <w:p>
      <w:pPr>
        <w:pStyle w:val="ListParagraph"/>
        <w:numPr>
          <w:ilvl w:val="0"/>
          <w:numId w:val="2"/>
        </w:numPr>
        <w:spacing w:after="80" w:line="280"/>
      </w:pPr>
      <w:r>
        <w:rPr>
          <w:sz w:val="22"/>
          <w:szCs w:val="22"/>
        </w:rPr>
        <w:t xml:space="preserve">行业结构上，外贸油运属于国际市场化、强周期运输服务，运价由全球船队供给、石油贸易路线、吨海里需求、地缘政治和环保政策共同决定；内贸油运和LNG长期项目合同则能够部分缓冲现货运价波动。</w:t>
      </w:r>
    </w:p>
    <w:p>
      <w:pPr>
        <w:pStyle w:val="ListParagraph"/>
        <w:numPr>
          <w:ilvl w:val="0"/>
          <w:numId w:val="2"/>
        </w:numPr>
        <w:spacing w:after="80" w:line="280"/>
      </w:pPr>
      <w:r>
        <w:rPr>
          <w:sz w:val="22"/>
          <w:szCs w:val="22"/>
        </w:rPr>
        <w:t xml:space="preserve">截至2024年末，公司合并口径应收账款账面余额约5.45亿元，较年初约5.84亿元下降，占2024年主营业务收入约2.3%；其中约5.35亿元账龄在一年以内，显示回款周期总体较短。公司资金占用还包括船舶建造预付款、资本开支、船舶租赁、燃油采购和港口结算，因此不能仅凭应收账款较低认定公司拥有很强的下游议价权。</w:t>
      </w:r>
    </w:p>
    <w:p>
      <w:pPr>
        <w:pStyle w:val="ListParagraph"/>
        <w:numPr>
          <w:ilvl w:val="0"/>
          <w:numId w:val="2"/>
        </w:numPr>
        <w:spacing w:after="80" w:line="280"/>
      </w:pPr>
      <w:r>
        <w:rPr>
          <w:sz w:val="22"/>
          <w:szCs w:val="22"/>
        </w:rPr>
        <w:t xml:space="preserve">供应端：2024年前五名供应商采购额占采购总额81.6%，中国远洋海运集团有限公司相关采购占52.0%，数据来自公司2024年年度报告。需求端：公司年报未认定存在单一客户销售占比超过50%的情况；“2024年前五大客户占营业收入52.6%”仅来自同花顺F10，未与年报交叉核实，数据来源单一，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约29.0%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油运市场处于较高景气阶段，外贸油运收入和利润贡献较强。数据为公开财务数据库口径。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国际油运市场极度低迷，外贸油运毛利大幅下降；公司对94艘船舶计提约49.61亿元资产减值，归母净利润亏损约49.75亿元。数据为公开财务数据库口径。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约18.6%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约9.6%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俄乌冲突、全球能源贸易流向重构和油运需求回升推动外贸油运修复；外贸油运运输收入同比增长97.6%，毛利率升至12.8%。数据为公开财务数据库口径。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约29.9%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油运供需改善、吨海里需求增长及国际航线重构推升运价，外贸油运和内贸油运整体保持较高盈利水平。数据为公开财务数据库口径。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约27.2%；公司年报主营业务综合毛利率为26.9%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约18.9%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外贸油运平均运价较2023年回落，外贸油运毛利率降至24.6%；LNG业务扩张、内贸油运稳定及资产减值压力较2021年减弱，归母净利润增长19.4%至40.37亿元。净利率和毛利率趋势数据为公开财务数据库口径，与年报口径可能存在差异。</w:t>
            </w:r>
          </w:p>
        </w:tc>
      </w:tr>
    </w:tbl>
    <w:p>
      <w:pPr>
        <w:spacing w:before="200"/>
      </w:pPr>
    </w:p>
    <w:p>
      <w:pPr>
        <w:spacing w:after="160" w:line="300"/>
      </w:pPr>
      <w:r>
        <w:rPr>
          <w:sz w:val="22"/>
          <w:szCs w:val="22"/>
        </w:rPr>
        <w:t xml:space="preserve">公司位于能源海运产业链中游，属于重资产、强周期的运输服务商，而非上游资源生产商或下游品牌企业。利润主要受外贸油运供需周期和国际运价驱动，内贸COA及LNG长期项目合同提供缓冲；未来利润改善主要依靠油轮运价回升、LNG长期项目扩张、内外贸联动、船队大型化以及燃油、租船和资本成本控制，而非传统品牌溢价。</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238.92亿元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同比增长2.68%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归母净利润40.37亿元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同比下降0.11%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151.46亿元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同比增长30.03%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归母净利润45.45亿元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同比增长143.21%</w:t>
            </w:r>
          </w:p>
        </w:tc>
      </w:tr>
    </w:tbl>
    <w:p>
      <w:pPr>
        <w:spacing w:after="200"/>
      </w:pPr>
      <w:r>
        <w:rPr>
          <w:i/>
          <w:iCs/>
          <w:color w:val="595959"/>
          <w:sz w:val="18"/>
          <w:szCs w:val="18"/>
        </w:rPr>
        <w:t xml:space="preserve">2026年半年度报告于2026年8月29日披露，报告期为2026年1月1日至6月30日，未经审计。2025年归母净利润受到资产处置收益及资产减值损失等非经常性因素影响：资产处置收益约6.66亿元，资产减值损失约4.56亿元。</w:t>
      </w:r>
    </w:p>
    <w:p>
      <w:pPr>
        <w:spacing w:after="160" w:line="300"/>
      </w:pPr>
      <w:r>
        <w:rPr>
          <w:sz w:val="22"/>
          <w:szCs w:val="22"/>
        </w:rPr>
        <w:t xml:space="preserve">2026年上半年公司业绩显著改善，营业收入同比增长30.03%，归母净利润同比增长143.21%，扣非归母净利润同比增长150.88%至44.49亿元，扣非利润增速高于归母净利润增速。利润增长主要由外贸油运业务驱动，LNG运输板块上半年营业收入约15.20亿元，同比增长22.20%，贡献归母净利润约5.12亿元，同比增长20.75%；本轮利润大幅增长的核心并非LNG业务，而主要来自油轮运输景气度上升。2026年上半年毛利率约41.39%，高于2025年全年约26.13%。</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来自证券之星截至2026年9月8日汇总的7家机构预测，以及国海证券、兴业证券、方正证券、中财网收录研报和另一份公开研报。证券之星平均EPS为7家机构简单算术平均，并非严格意义上的统一口径一致预期；不同机构在运价周期、地缘政治、船队供给及股本假设方面存在差异，预测不属于公司正式业绩指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约343.08—345.06亿元（公开研报预测）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约110—122亿元（公开研报主流预测）；证券之星机构EPS平均值折算约121.8亿元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相较2025年40.37亿元，预计大幅增长；具体同比增速未统一披露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机构预测简单平均2.23元/股；公开研报另有2.136元、2.16元等预测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约342.83—403.17亿元（部分公开研报预测）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约115.97—153.71亿元（公开研报预测）；证券之星机构EPS平均值折算约146.5亿元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同比增速未统一披露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机构预测简单平均2.68元/股；公开研报另有2.120元、2.56元等预测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约322.79—381.91亿元（部分公开研报预测）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约103.17—135.28亿元（公开研报预测）；证券之星机构EPS平均值折算约146.8亿元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同比增速未统一披露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机构预测简单平均2.68元/股；公开研报另有1.886元、2.28元等预测</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预测2026—2028年归母净利润分别为117.21亿元、153.71亿元和135.28亿元；对应PE约9倍、7倍和8倍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目标价不超过26.80元；预测2026年净利润98.21亿元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目标价不超过29.00元；预测2026年净利润122.01亿元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2026年7月16日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预测2026—2028年归母净利润分别为118.3亿元、136.5亿元和123.7亿元；公开摘要未列示新的明确目标价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兴业证券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预测2026—2028年归母净利润分别为118.34亿元、140.13亿元和125.00亿元；对应PE约9.4倍、7.9倍和8.9倍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中财网收录研报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评级信息未明确披露</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预测2026—2028年归母净利润分别为110亿元、122亿元和128亿元；目标价32.00元，给予2026年16倍PE估值</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富途公开页面汇总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分析师目标价汇总</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平均目标价27.85元，最高32.20元，最低25.08元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同花顺近六个月机构统计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6家买入、5家增持、1家推荐、1家跑赢行业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统计发布时间较早，具体日期未披露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13家机构目标价最高29.00元、最低19.28元、平均25.42元；该统计未必反映2026年8月中报及9月最新研报调整</w:t>
            </w:r>
          </w:p>
        </w:tc>
      </w:tr>
    </w:tbl>
    <w:p>
      <w:pPr>
        <w:spacing w:before="200"/>
      </w:pPr>
    </w:p>
    <w:p>
      <w:pPr>
        <w:spacing w:after="160" w:line="300"/>
      </w:pPr>
      <w:r>
        <w:rPr>
          <w:sz w:val="22"/>
          <w:szCs w:val="22"/>
        </w:rPr>
        <w:t xml:space="preserve">最近可获得的市场数据为2026年9月11日收盘：收盘价20.86元，当日跌幅2.07%，总市值约1141.30亿元，流通市值约798.52亿元，总股本约54.71亿股；市盈率TTM为16.67倍，动态市盈率12.54倍，静态市盈率25.25倍，市净率2.37倍。理杏仁截至2026年9月10日显示PE约17.36倍、PB约2.42倍，PE分位点约39.39%。不同平台在TTM利润、复权价格和净资产口径方面存在差异。按机构平均EPS估算，20.86元股价对应2026E PE约9.4倍、2027E PE约7.8倍；按兴业证券2026E EPS 2.16元计算，2026E PE约9.7倍；按国海证券2026年归母净利润117.21亿元估算，对应PE约9.7倍。公司当前呈现“历史TTM估值不低、前瞻周期估值较低”的特征，前瞻低估值判断依赖油运高景气延续。公开目标价主要集中在25—32元区间，相对2026年9月11日收盘价存在约20%—54%的理论上行空间，但目标价建立在较高油运景气、运价维持高位或地缘因素继续支撑运输需求等假设之上，不能视为确定收益。主要风险包括油轮运价回落、霍尔木兹海峡恢复通航导致运输效率提升及运价下降、全球经济放缓和原油贸易量减少、船队新船交付超预期、燃油及保险成本上升，以及地缘冲突变化对航线和运价的反向影响。</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2026年半年度业绩预增获正式报告确认</w:t>
      </w:r>
    </w:p>
    <w:p>
      <w:pPr>
        <w:spacing w:after="160" w:line="300"/>
      </w:pPr>
      <w:r>
        <w:rPr>
          <w:sz w:val="22"/>
          <w:szCs w:val="22"/>
        </w:rPr>
        <w:t xml:space="preserve">2026年7月11日，公司披露2026年半年度业绩预增公告，预计上半年归属于上市公司股东的净利润约45亿元，同比增长约141%；扣除非经常性损益后的净利润约44亿元，同比增长约148%。2026年8月29日披露的半年度报告显示，实际实现归母净利润约45.45亿元，同比增长约143.21%；扣非归母净利润约44.49亿元，同比增长约150.9%。半年度报告注明未经审计。公司将业绩增长归因于报告期内国际油运市场景气度提升等因素。</w:t>
      </w:r>
    </w:p>
    <w:p>
      <w:pPr>
        <w:pStyle w:val="Heading2"/>
        <w:spacing w:after="120" w:before="240"/>
      </w:pPr>
      <w:r>
        <w:rPr>
          <w:b/>
          <w:bCs/>
          <w:color w:val="2E74B5"/>
          <w:sz w:val="24"/>
          <w:szCs w:val="24"/>
        </w:rPr>
        <w:t xml:space="preserve">4.2 公司将召开2026年半年度业绩说明会</w:t>
      </w:r>
    </w:p>
    <w:p>
      <w:pPr>
        <w:spacing w:after="160" w:line="300"/>
      </w:pPr>
      <w:r>
        <w:rPr>
          <w:sz w:val="22"/>
          <w:szCs w:val="22"/>
        </w:rPr>
        <w:t xml:space="preserve">公司已公告将于2026年9月21日15:00至16:30召开2026年半年度业绩说明会，投资者问题预征集时间为2026年9月14日至9月18日16:00。会议可能进一步涉及油运市场、船队运力、下半年经营和资本开支等内容，具体信息尚待说明会及后续披露确认。</w:t>
      </w:r>
    </w:p>
    <w:p>
      <w:pPr>
        <w:pStyle w:val="Heading2"/>
        <w:spacing w:after="120" w:before="240"/>
      </w:pPr>
      <w:r>
        <w:rPr>
          <w:b/>
          <w:bCs/>
          <w:color w:val="2E74B5"/>
          <w:sz w:val="24"/>
          <w:szCs w:val="24"/>
        </w:rPr>
        <w:t xml:space="preserve">4.3 2026年中期利润分配方案</w:t>
      </w:r>
    </w:p>
    <w:p>
      <w:pPr>
        <w:spacing w:after="160" w:line="300"/>
      </w:pPr>
      <w:r>
        <w:rPr>
          <w:sz w:val="22"/>
          <w:szCs w:val="22"/>
        </w:rPr>
        <w:t xml:space="preserve">2026年8月29日，公司董事会审议通过2026年中期利润分配方案，拟向全体A股及H股股东每股派发现金红利0.28元（含税），即每10股派发2.80元。以2026年6月30日总股本5,471,206,653股测算，预计派发现金股利约15.32亿元。最终分红总额以权益分派股权登记日的总股本为基数确定；如登记日前总股本发生变化，公司将维持每股分红金额不变并相应调整分配总额。截至2026年9月14日，股权登记日、除权除息日和实际发放日尚待后续权益分派实施公告确认。</w:t>
      </w:r>
    </w:p>
    <w:p>
      <w:pPr>
        <w:pStyle w:val="Heading2"/>
        <w:spacing w:after="120" w:before="240"/>
      </w:pPr>
      <w:r>
        <w:rPr>
          <w:b/>
          <w:bCs/>
          <w:color w:val="2E74B5"/>
          <w:sz w:val="24"/>
          <w:szCs w:val="24"/>
        </w:rPr>
        <w:t xml:space="preserve">4.4 部分董事及高级管理人员减持完成</w:t>
      </w:r>
    </w:p>
    <w:p>
      <w:pPr>
        <w:spacing w:after="160" w:line="300"/>
      </w:pPr>
      <w:r>
        <w:rPr>
          <w:sz w:val="22"/>
          <w:szCs w:val="22"/>
        </w:rPr>
        <w:t xml:space="preserve">2026年8月12日，公司披露部分董事及高级管理人员减持股份结果公告。朱迈进于2026年5月12日至8月11日期间减持25,700股，减持价格为22.39元/股，减持金额约57.54万元，减持后持股77,280股，原计划尚余45股未减持。董事会秘书倪艺丹同期减持13,600股，减持价格为22.55元/股，减持金额约30.67万元，减持后持股40,890股，原计划尚余22股未减持。相关减持符合此前披露的减持计划，单个减持主体占公司总股本比例均不足0.001%，对公司控制权和股本结构没有实质性影响。</w:t>
      </w:r>
    </w:p>
    <w:p>
      <w:pPr>
        <w:pStyle w:val="Heading2"/>
        <w:spacing w:after="120" w:before="240"/>
      </w:pPr>
      <w:r>
        <w:rPr>
          <w:b/>
          <w:bCs/>
          <w:color w:val="2E74B5"/>
          <w:sz w:val="24"/>
          <w:szCs w:val="24"/>
        </w:rPr>
        <w:t xml:space="preserve">4.5 非执行董事离任及董事会人员变化</w:t>
      </w:r>
    </w:p>
    <w:p>
      <w:pPr>
        <w:spacing w:after="160" w:line="300"/>
      </w:pPr>
      <w:r>
        <w:rPr>
          <w:sz w:val="22"/>
          <w:szCs w:val="22"/>
        </w:rPr>
        <w:t xml:space="preserve">2026年9月2日，公司披露王威因工作岗位变动，辞去公司非执行董事及董事会审计委员会委员职务。同期召开的2026年第三次临时股东会审议通过了选举非执行董事的议案，普通股合计表决中，同意票占91.7551%，反对票占8.2372%，参与表决的普通股股份合计为2,897,495,458股。2026年9月11日，公司披露二〇二六年第十二次董事会会议决议公告。当前公开信息显示，相关人员变动主要与工作岗位调整和公司治理安排有关，暂未发现与监管处罚、财务造假或重大经营风险直接相关的表述。</w:t>
      </w:r>
    </w:p>
    <w:p>
      <w:pPr>
        <w:pStyle w:val="Heading2"/>
        <w:spacing w:after="120" w:before="240"/>
      </w:pPr>
      <w:r>
        <w:rPr>
          <w:b/>
          <w:bCs/>
          <w:color w:val="2E74B5"/>
          <w:sz w:val="24"/>
          <w:szCs w:val="24"/>
        </w:rPr>
        <w:t xml:space="preserve">4.6 收购中远海运大连投资有限公司100%股权并实施吸收合并</w:t>
      </w:r>
    </w:p>
    <w:p>
      <w:pPr>
        <w:spacing w:after="160" w:line="300"/>
      </w:pPr>
      <w:r>
        <w:rPr>
          <w:sz w:val="22"/>
          <w:szCs w:val="22"/>
        </w:rPr>
        <w:t xml:space="preserve">2026年4月28日，公司披露全资子公司大连中远海运能源供应链有限公司拟收购中国远洋海运集团有限公司持有的中远海运大连投资有限公司100%股权，交易价格约15.85亿元，最终交易价格以经有权国资主管部门备案的资产评估价格为准。交易完成后，大连海能将对大连投资实施吸收合并，相关委托管理协议将终止，该交易构成关联交易。2026年6月27日披露的后续股东会材料进一步确认该事项。根据2026年8月29日披露的半年度报告，截至当时事项后续实施无进展或变化。2026年9月14日前尚未看到最终价格完成备案或吸收合并完成的进一步公告，因此15.85亿元不能视为最终结算价格。</w:t>
      </w:r>
    </w:p>
    <w:p>
      <w:pPr>
        <w:pStyle w:val="Heading2"/>
        <w:spacing w:after="120" w:before="240"/>
      </w:pPr>
      <w:r>
        <w:rPr>
          <w:b/>
          <w:bCs/>
          <w:color w:val="2E74B5"/>
          <w:sz w:val="24"/>
          <w:szCs w:val="24"/>
        </w:rPr>
        <w:t xml:space="preserve">4.7 船舶建造合同及船队投资情况</w:t>
      </w:r>
    </w:p>
    <w:p>
      <w:pPr>
        <w:spacing w:after="160" w:line="300"/>
      </w:pPr>
      <w:r>
        <w:rPr>
          <w:sz w:val="22"/>
          <w:szCs w:val="22"/>
        </w:rPr>
        <w:t xml:space="preserve">公司2026年半年度报告披露，2024年至2026年期间，公司及附属公司与启东中远海运海洋工程有限公司、扬州中远海运重工有限公司签署多份船舶建造合同，包括原油运输船和LPG船舶。与启东中远海运海洋工程有限公司签署的六份船舶建造合同含税总价约42.27亿元，截至2026年6月30日已支付约11.26亿元；与扬州中远海运重工有限公司签署的四份LPG船舶建造合同含税总价约32.09亿元。上述事项属于船队投资和产能扩张背景信息，部分合同此前已经公告，不属于2026年9月新增事项。</w:t>
      </w:r>
    </w:p>
    <w:p>
      <w:pPr>
        <w:pStyle w:val="Heading2"/>
        <w:spacing w:after="120" w:before="240"/>
      </w:pPr>
      <w:r>
        <w:rPr>
          <w:b/>
          <w:bCs/>
          <w:color w:val="2E74B5"/>
          <w:sz w:val="24"/>
          <w:szCs w:val="24"/>
        </w:rPr>
        <w:t xml:space="preserve">4.8 近期未检索到新增股份回购事项</w:t>
      </w:r>
    </w:p>
    <w:p>
      <w:pPr>
        <w:spacing w:after="160" w:line="300"/>
      </w:pPr>
      <w:r>
        <w:rPr>
          <w:sz w:val="22"/>
          <w:szCs w:val="22"/>
        </w:rPr>
        <w:t xml:space="preserve">截至2026年9月14日，在公司2026年7月至9月公告列表及近期重大事项信息中，未检索到新披露的A股股份回购计划、回购实施进展或回购注销公告。近期资本回报动作主要体现为2026年中期现金分红，而非新增股份回购。该结论基于截至2026年9月14日公开公告列表及相关关键词检索，不等同于公司绝对不存在历史回购或未来回购安排。</w:t>
      </w:r>
    </w:p>
    <w:p>
      <w:pPr>
        <w:pStyle w:val="Heading2"/>
        <w:spacing w:after="120" w:before="240"/>
      </w:pPr>
      <w:r>
        <w:rPr>
          <w:b/>
          <w:bCs/>
          <w:color w:val="2E74B5"/>
          <w:sz w:val="24"/>
          <w:szCs w:val="24"/>
        </w:rPr>
        <w:t xml:space="preserve">4.9 监管及交易异常事项核查</w:t>
      </w:r>
    </w:p>
    <w:p>
      <w:pPr>
        <w:spacing w:after="160" w:line="300"/>
      </w:pPr>
      <w:r>
        <w:rPr>
          <w:sz w:val="22"/>
          <w:szCs w:val="22"/>
        </w:rPr>
        <w:t xml:space="preserve">截至2026年9月14日，未检索到公司在2026年7月至9月期间收到上海证券交易所监管问询、纪律处分、行政处罚或重大违规调查的公告。2026年7月10日，上海证券交易所发布融资融券标的证券2026年第二季度定期调整通知，600026中远海能仍在融资融券标的名单中，标的序号为520。该事项属于交易规则层面的市场基础设施调整，不是针对公司的监管处罚或风险警示。当前未检索到2026年9月新增股票交易异常波动公告。</w:t>
      </w:r>
    </w:p>
    <w:p>
      <w:pPr>
        <w:pStyle w:val="Heading2"/>
        <w:spacing w:after="120" w:before="240"/>
      </w:pPr>
      <w:r>
        <w:rPr>
          <w:b/>
          <w:bCs/>
          <w:color w:val="2E74B5"/>
          <w:sz w:val="24"/>
          <w:szCs w:val="24"/>
        </w:rPr>
        <w:t xml:space="preserve">4.10 近期经营与投资风险提示</w:t>
      </w:r>
    </w:p>
    <w:p>
      <w:pPr>
        <w:spacing w:after="160" w:line="300"/>
      </w:pPr>
      <w:r>
        <w:rPr>
          <w:sz w:val="22"/>
          <w:szCs w:val="22"/>
        </w:rPr>
        <w:t xml:space="preserve">公司业绩与国际油运市场运价、地缘政治、航线安全和全球原油贸易节奏高度相关。2026年上半年业绩大幅增长已被未经审计的半年度报告确认，但该增长具有较强周期性，不能简单外推为全年或未来年度的确定性增长。中期分红的登记日和实施日期、关联交易最终价格及吸收合并完成时间，截至2026年9月14日仍待后续公告确认。</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600026，中远海能</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涨跌幅及涨跌额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下跌2.07%，较前一交易日下跌0.44元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21.82元/21.96元/20.61元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约68.98万手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约14.56亿元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约1.6%—1.8%；不同平台显示约1.56%或1.80%，存在口径差异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约1141.30亿元/798.52亿元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约54.71亿股/38.28亿股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约12.54倍；单一来源数据，其他平台显示约17倍但未明确为动态口径，存在口径差异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27.17元/11.19元；具体发生日期未能可靠确认</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2026年8月17日收盘17.70元；8月21日19.58元；9月3日20.33元；9月9日21.43元；9月10日21.30元；9月11日20.86元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股价呈快速上冲后高位震荡回落特征；9月11日盘中振幅约6.34%，收盘接近当日低位，短线抛压有所增加，但尚未跌破9月7日19.68元低点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MA5约20.90元，MA10约21.04元，MA20约19.37元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收盘价略低于MA5和MA10，但明显高于MA20，短线动能降温，中短期价格结构尚未破坏，MA20附近仍是趋势支撑参考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MA50/MA200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本次研究纪要未找到截至2026年9月11日的可靠交叉数据</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缺少可靠数据，暂不作判断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约0.23，信号方向为买入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MACD位于零轴上方，中期趋势尚未完全转弱；但短线价格已回落并跌破MA5、MA10，不能仅凭MACD正值判断短期将继续上行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约54.19，技术状态为中性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RSI回落至50附近，多空力量暂时趋于均衡，未进入明显超买或超卖区，短线追涨动能较9月初有所减弱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中轨约19.37元，上轨约21.47元，下轨约17.26元；20日收盘价标准差约1.05元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收盘价20.86元位于中轨与上轨之间，距离上轨约0.61元；此前股价曾触及21.96元，冲高后存在均值回归压力。该指标为基于历史收盘价的自行测算，结果可能因复权方式及数据源不同而略有差异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52周价格位置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52周高点27.17元，低点11.19元；收盘价较高点低约23.2%，较低点高约86.4%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当前价格位于52周区间中上部，但距离52周高点仍有明显距离</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2026年9月7日至9月11日超大单与大单净流向简单合计约为正4.35亿元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9月8—9日资金流入较强并配合上涨；9月10—11日股价回落，9月11日超大单净流出、大单净流入，显示大资金内部存在分歧。该数据不等同于完整机构资金流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2026年9月7日至9月11日，日成交额约11.72亿—22.07亿元，换手率约1.52%—2.72%；9月3日成交额约23.29亿元、换手率约3.02%；9月9日成交额约22.07亿元、换手率约2.72%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上涨日成交额明显放大，9月11日回落时成交额仍处于中等偏高水平，短线筹码交换较为活跃，但尚未达到极端换手状态</w:t>
            </w:r>
          </w:p>
        </w:tc>
      </w:tr>
    </w:tbl>
    <w:p>
      <w:pPr>
        <w:spacing w:before="200"/>
      </w:pPr>
    </w:p>
    <w:p>
      <w:pPr>
        <w:spacing w:after="160" w:line="300"/>
      </w:pPr>
      <w:r>
        <w:rPr>
          <w:sz w:val="22"/>
          <w:szCs w:val="22"/>
        </w:rPr>
        <w:t xml:space="preserve">截至2026年9月11日，中远海能收于20.86元，经历8月中旬以来的快速上行后，近期在21元上方出现冲高回落。技术上，股价略低于MA5和MA10，但仍明显高于MA20；MACD仍在零轴上方，RSI约54.19处于中性区间，说明中期上升结构尚未完全破坏，但短线动能已较前期降温。股价位于布林中轨与上轨之间，21.40—21.96元附近存在压力，20.20—20.60元及19.60—19.90元为下方重要观察区间。资金面上，近期主力资金合计净流入，但9月11日出现超大单流出、大单流入的分歧结构；后续需结合成交额、换手率及价格是否有效突破关键区间观察走势。</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风险提示：以下内容仅为基于2026年9月11日收盘数据的主观情景推演，不构成投资建议，也不是对未来价格的确定性预测。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21.40—21.96元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对应9月9日收盘价21.43元、9月11日盘中高点21.96元及自行测算的布林上轨约21.47元。若放量突破21.96元，可能打开向22.30—22.80元区域观察的空间；若多次冲击失败，则可能继续震荡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20.20—20.60元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对应9月8日收盘价20.23元、9月11日盘中低点20.61元及MA5、MA10附近的短线承接区域。若缩量企稳，走势可能转为高位震荡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19.60—19.90元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接近9月7日低点19.68元及MA20约19.37元上方区域。若有效跌破19.60元，可能向19.00元附近甚至布林下轨方向寻找支撑；若获得承接，中期上升结构尚未完全破坏</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指标和资金流向的主观启发式权重，不是统计概率）：价格区间约20.20—21.50元。触发条件包括守住20.20元附近、成交额回落至近期正常区间，且无法有效突破21.40—21.96元压力区；RSI位于50附近、MA5和MA10相互靠拢，也与短线震荡消化情景相符</w:t>
      </w:r>
    </w:p>
    <w:p>
      <w:pPr>
        <w:pStyle w:val="ListParagraph"/>
        <w:numPr>
          <w:ilvl w:val="0"/>
          <w:numId w:val="2"/>
        </w:numPr>
        <w:spacing w:after="80" w:line="280"/>
      </w:pPr>
      <w:r>
        <w:rPr>
          <w:sz w:val="22"/>
          <w:szCs w:val="22"/>
        </w:rPr>
        <w:t xml:space="preserve">偏弱下行（权重中等；为主观启发式判断，不是统计概率）：价格区间约19.60—20.20元。触发条件包括有效跌破20.20元，同时单日成交额放大但收盘继续走弱，或超大单资金连续净流出；若进一步跌破19.60元，可能打开向MA20附近及19元一带回撤的空间</w:t>
      </w:r>
    </w:p>
    <w:p>
      <w:pPr>
        <w:pStyle w:val="ListParagraph"/>
        <w:numPr>
          <w:ilvl w:val="0"/>
          <w:numId w:val="2"/>
        </w:numPr>
        <w:spacing w:after="80" w:line="280"/>
      </w:pPr>
      <w:r>
        <w:rPr>
          <w:sz w:val="22"/>
          <w:szCs w:val="22"/>
        </w:rPr>
        <w:t xml:space="preserve">反弹走强（权重偏低；为主观启发式判断，不是统计概率）：价格区间约21.40—22.80元。触发条件包括重新站上21.40元，并以明显高于近期常态的成交额突破21.96元前高，同时超大单与大单资金重新同步净流入，或油运、航运板块出现持续性联动上涨；仅有盘中冲高但无成交量配合，不足以视为有效突破</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流动性数据显示，2026年9月7日至9月11日日成交额约11.72亿—22.07亿元、换手率约1.52%—2.72%；将更宽的近期参考范围计入9月3日和9月9日后，成交额约11.7亿—23.3亿元，换手率约1.5%—3.0%。截至2026年6月30日，公司普通股股东总数为92,384户，前十大股东合计持股约42.60亿股，占总股本约77.87%；前十大流通股东合计持股约39.13亿股，占流通盘约76.36%。同期机构合计持有约28.18亿股，占流通股约73.62%，其中基金约4.67%、保险公司约0.95%、QFII约0.39%，其余大部分归入其他机构，主要受控股股东及国有资本持股影响。中国海运集团有限公司持股28.09%，中国远洋海运集团有限公司持股18.76%，HKSCC NOMINEES LIMITED持股23.58%，中远海运集团及其附属公司合计持有约25.63亿股A股，占已发行总股本约46.85%。上述股东结构数据截至2026年6月30日，距离行情数据约两个半月，可能已发生变化。其实际含义是公司股权集中度较高、控股股东及国有资本持股比例较高，实际可自由交易筹码相对有限；但高集中度不等同于短线买盘强，仍需结合成交量和资金流向判断。</w:t>
      </w:r>
    </w:p>
    <w:p>
      <w:pPr>
        <w:spacing w:after="160" w:line="300"/>
      </w:pPr>
      <w:r>
        <w:rPr>
          <w:sz w:val="22"/>
          <w:szCs w:val="22"/>
        </w:rPr>
        <w:t xml:space="preserve">观察性成交量确认信号：若后续单日成交额连续放大至约20亿元以上、换手率达到约2.5%—3.0%，且收盘价同步站上21.40元并进一步突破21.96元，可视为突破有效性增强；若成交额放大但股价收跌，则更接近高位派发或筹码分歧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观察20.20—20.60元区域能否获得承接，以及成交额是否回落至近期正常区间。</w:t>
      </w:r>
    </w:p>
    <w:p>
      <w:pPr>
        <w:pStyle w:val="ListParagraph"/>
        <w:numPr>
          <w:ilvl w:val="0"/>
          <w:numId w:val="2"/>
        </w:numPr>
        <w:spacing w:after="80" w:line="280"/>
      </w:pPr>
      <w:r>
        <w:rPr>
          <w:sz w:val="22"/>
          <w:szCs w:val="22"/>
        </w:rPr>
        <w:t xml:space="preserve">观察19.60—19.90元是否形成强支撑，若跌破19.60元则关注向MA20约19.37元及19.00元附近回撤的可能性。</w:t>
      </w:r>
    </w:p>
    <w:p>
      <w:pPr>
        <w:pStyle w:val="ListParagraph"/>
        <w:numPr>
          <w:ilvl w:val="0"/>
          <w:numId w:val="2"/>
        </w:numPr>
        <w:spacing w:after="80" w:line="280"/>
      </w:pPr>
      <w:r>
        <w:rPr>
          <w:sz w:val="22"/>
          <w:szCs w:val="22"/>
        </w:rPr>
        <w:t xml:space="preserve">观察21.40—21.96元压力区能否伴随成交额连续约20亿元以上及换手率约2.5%—3.0%实现放量突破。</w:t>
      </w:r>
    </w:p>
    <w:p>
      <w:pPr>
        <w:pStyle w:val="ListParagraph"/>
        <w:numPr>
          <w:ilvl w:val="0"/>
          <w:numId w:val="2"/>
        </w:numPr>
        <w:spacing w:after="80" w:line="280"/>
      </w:pPr>
      <w:r>
        <w:rPr>
          <w:sz w:val="22"/>
          <w:szCs w:val="22"/>
        </w:rPr>
        <w:t xml:space="preserve">观察超大单资金能否由净流出转为与大单同步持续净流入。以上均为观察思路，非操作指令。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油运市场及航运板块表现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属于证监会行业分类中的交通运输、仓储和邮政业之水上运输业，细分为液货运输，覆盖原油运输、成品油运输、LNG/LPG运输和化学品运输。行业具有资本投入高、船舶建造周期长、环保合规要求高、船型专业化程度高和周期性强等特征。</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国内油运市场呈现少数大型央企船东占据核心资源、中小船东在细分船型和区域市场竞争的格局。中远海能和招商轮船被公开行业资料列为国内大型油轮运输领域的主要竞争者。</w:t>
      </w:r>
    </w:p>
    <w:p>
      <w:pPr>
        <w:pStyle w:val="ListParagraph"/>
        <w:numPr>
          <w:ilvl w:val="0"/>
          <w:numId w:val="2"/>
        </w:numPr>
        <w:spacing w:after="80" w:line="280"/>
      </w:pPr>
      <w:r>
        <w:rPr>
          <w:sz w:val="22"/>
          <w:szCs w:val="22"/>
        </w:rPr>
        <w:t xml:space="preserve">全球油轮运输市场高度周期化，运价受全球船队供给、石油贸易路线、吨海里需求、地缘政治及环保政策共同影响。截至2024年末，全球油轮存量新船订单约1,160艘，占全球油轮船队14.21%；新船交付节奏和船队老龄化将影响未来供需平衡。</w:t>
      </w:r>
    </w:p>
    <w:p>
      <w:pPr>
        <w:pStyle w:val="ListParagraph"/>
        <w:numPr>
          <w:ilvl w:val="0"/>
          <w:numId w:val="2"/>
        </w:numPr>
        <w:spacing w:after="80" w:line="280"/>
      </w:pPr>
      <w:r>
        <w:rPr>
          <w:sz w:val="22"/>
          <w:szCs w:val="22"/>
        </w:rPr>
        <w:t xml:space="preserve">LNG运输的竞争壁垒高于普通油轮运输，通常需要大型专用船、长期租船合同、严格安全管理、大型能源客户资质、项目获取能力、融资能力和船舶建造管理能力。</w:t>
      </w:r>
    </w:p>
    <w:p>
      <w:pPr>
        <w:pStyle w:val="ListParagraph"/>
        <w:numPr>
          <w:ilvl w:val="0"/>
          <w:numId w:val="2"/>
        </w:numPr>
        <w:spacing w:after="80" w:line="280"/>
      </w:pPr>
      <w:r>
        <w:rPr>
          <w:sz w:val="22"/>
          <w:szCs w:val="22"/>
        </w:rPr>
        <w:t xml:space="preserve">中远海能和招商轮船均已布局卡塔尔能源等大型国际LNG项目。招商轮船截至2024年末已投资LNG船舶64艘，其中61艘已锁定长约，是中远海能在LNG运输领域最直接的A股可比公司。</w:t>
      </w:r>
    </w:p>
    <w:p>
      <w:pPr>
        <w:pStyle w:val="ListParagraph"/>
        <w:numPr>
          <w:ilvl w:val="0"/>
          <w:numId w:val="2"/>
        </w:numPr>
        <w:spacing w:after="80" w:line="280"/>
      </w:pPr>
      <w:r>
        <w:rPr>
          <w:sz w:val="22"/>
          <w:szCs w:val="22"/>
        </w:rPr>
        <w:t xml:space="preserve">行业主要不确定性包括油轮及LNG运价、燃油价格、船舶租金、汇率、环保规则、地缘政治、船舶交付及资本开支变化。历史毛利率不宜简单外推未来盈利能力。</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招商轮船（601872）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综合油气运输及多元化航运公司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主营油气运输、干散货运输，并涉及滚装、集装箱等业务。2024年末拥有油轮59艘、约1,687.65万载重吨，并拥有较大规模LNG船队。业务较中远海能更为多元，是最直接的综合可比公司。</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招商南油（601975）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中小船型液货运输服务商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主要从事内外贸油品、化学品和气体运输，优势在于中小船型、内外贸兼营、沿海及长江航线和长期COA合作；国际VLCC及大型LNG项目能力弱于中远海能。</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兴通股份（603209）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液体危险货物细分运输企业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主营液体化学品、成品油和LPG运输，重点发展国际化学品运输。2024年末相关在营船舶合计37艘，总运力约42.95万载重吨，规模小于中远海能但细分业务更聚焦。</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盛航股份（001205）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区域性成品油和化学品运输企业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主要从事成品油和液体化学品水上运输，业务区域以国内沿海、华南及化工客户为主。2024年末相关子公司拥有成品油、化学品船舶合计12艘、约10.06万载重吨。</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宁波海运（600798）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广义航运可比公司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更偏国内沿海散货及能源运输，与中远海能油轮、LNG核心业务重合度有限，适合作为行业估值辅助参考。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海通发展（603162）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广义航运可比公司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主要布局干散货等市场，与中远海能核心油轮、LNG业务重合度有限，适合作为行业估值辅助参考。</w:t>
            </w:r>
          </w:p>
        </w:tc>
      </w:tr>
    </w:tbl>
    <w:p>
      <w:pPr>
        <w:spacing w:before="200"/>
      </w:pPr>
    </w:p>
    <w:p>
      <w:pPr>
        <w:spacing w:after="160" w:line="300"/>
      </w:pPr>
      <w:r>
        <w:rPr>
          <w:sz w:val="22"/>
          <w:szCs w:val="22"/>
        </w:rPr>
        <w:t xml:space="preserve">中远海能聚焦油轮和能源运输，拥有大型油轮船队、LNG项目及央企资源协同优势；招商轮船业务更加多元，是最直接的综合可比公司；招商南油在中小船型液货运输和区域航线上更具针对性；兴通股份和盛航股份则分别在化学品、成品油及LPG等细分液货市场具有可比性。宁波海运和海通发展与公司核心业务重合度较低，主要用于广义航运估值参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国际油运运价回落风险：公司外贸油运收入占2024年主营业务收入约62.7%，利润对国际油运市场高度敏感。若全球原油贸易量下降、贸易路线恢复正常或地缘因素弱化，运价可能回落并压缩公司利润。</w:t>
      </w:r>
    </w:p>
    <w:p>
      <w:pPr>
        <w:pStyle w:val="ListParagraph"/>
        <w:numPr>
          <w:ilvl w:val="0"/>
          <w:numId w:val="2"/>
        </w:numPr>
        <w:spacing w:after="80" w:line="280"/>
      </w:pPr>
      <w:r>
        <w:rPr>
          <w:sz w:val="22"/>
          <w:szCs w:val="22"/>
        </w:rPr>
        <w:t xml:space="preserve">业绩周期性与预测兑现风险：2026年上半年归母净利润同比增长143.21%，但半年度报告未经审计，且该增长主要由油运景气上升驱动。机构对2026—2028年盈利预测区间差异较大，若高运价不能持续，当前前瞻估值和盈利预期可能被重新评估。</w:t>
      </w:r>
    </w:p>
    <w:p>
      <w:pPr>
        <w:pStyle w:val="ListParagraph"/>
        <w:numPr>
          <w:ilvl w:val="0"/>
          <w:numId w:val="2"/>
        </w:numPr>
        <w:spacing w:after="80" w:line="280"/>
      </w:pPr>
      <w:r>
        <w:rPr>
          <w:sz w:val="22"/>
          <w:szCs w:val="22"/>
        </w:rPr>
        <w:t xml:space="preserve">船队扩张与资本开支风险：公司截至2024年末有12艘油轮在建，并推进VLCC、LPG等船舶建造合同；相关投资金额较大且建设周期较长。若船舶交付集中、市场景气转弱或项目回报低于预期，可能增加折旧、融资及经营压力。</w:t>
      </w:r>
    </w:p>
    <w:p>
      <w:pPr>
        <w:pStyle w:val="ListParagraph"/>
        <w:numPr>
          <w:ilvl w:val="0"/>
          <w:numId w:val="2"/>
        </w:numPr>
        <w:spacing w:after="80" w:line="280"/>
      </w:pPr>
      <w:r>
        <w:rPr>
          <w:sz w:val="22"/>
          <w:szCs w:val="22"/>
        </w:rPr>
        <w:t xml:space="preserve">船舶租赁成本上升风险：2024年油品运输船舶租费约25.57亿元，同比增长35.0%，主要与新增期租租入VLCC有关。若租金继续上行而运价无法同步上涨，租入运力可能压缩油运业务利润率。</w:t>
      </w:r>
    </w:p>
    <w:p>
      <w:pPr>
        <w:pStyle w:val="ListParagraph"/>
        <w:numPr>
          <w:ilvl w:val="0"/>
          <w:numId w:val="2"/>
        </w:numPr>
        <w:spacing w:after="80" w:line="280"/>
      </w:pPr>
      <w:r>
        <w:rPr>
          <w:sz w:val="22"/>
          <w:szCs w:val="22"/>
        </w:rPr>
        <w:t xml:space="preserve">燃油及刚性运营成本风险：2024年油品运输燃料费约53.35亿元，占油品运输成本34.8%；船员费、港口费和维修费也具有一定刚性。燃油价格、港口费用或维修成本上升可能削弱运价上涨带来的利润增量。</w:t>
      </w:r>
    </w:p>
    <w:p>
      <w:pPr>
        <w:pStyle w:val="ListParagraph"/>
        <w:numPr>
          <w:ilvl w:val="0"/>
          <w:numId w:val="2"/>
        </w:numPr>
        <w:spacing w:after="80" w:line="280"/>
      </w:pPr>
      <w:r>
        <w:rPr>
          <w:sz w:val="22"/>
          <w:szCs w:val="22"/>
        </w:rPr>
        <w:t xml:space="preserve">资产减值风险：公司2021年曾对94艘船舶计提约49.61亿元资产减值；2025年又受到资产减值损失等非经常性因素影响。若船舶价值、租金水平或市场景气再次显著下行，仍可能出现资产减值并扰动归母利润。</w:t>
      </w:r>
    </w:p>
    <w:p>
      <w:pPr>
        <w:pStyle w:val="ListParagraph"/>
        <w:numPr>
          <w:ilvl w:val="0"/>
          <w:numId w:val="2"/>
        </w:numPr>
        <w:spacing w:after="80" w:line="280"/>
      </w:pPr>
      <w:r>
        <w:rPr>
          <w:sz w:val="22"/>
          <w:szCs w:val="22"/>
        </w:rPr>
        <w:t xml:space="preserve">关联采购与供应商集中度风险：2024年前五名供应商采购额占采购总额81.6%，中国远洋海运集团有限公司相关采购占52.0%。集团协同有助于采购和服务，但较高集中度也意味着公司对单一集团体系及关联交易定价公允性的依赖较高。</w:t>
      </w:r>
    </w:p>
    <w:p>
      <w:pPr>
        <w:pStyle w:val="ListParagraph"/>
        <w:numPr>
          <w:ilvl w:val="0"/>
          <w:numId w:val="2"/>
        </w:numPr>
        <w:spacing w:after="80" w:line="280"/>
      </w:pPr>
      <w:r>
        <w:rPr>
          <w:sz w:val="22"/>
          <w:szCs w:val="22"/>
        </w:rPr>
        <w:t xml:space="preserve">项目及关联交易实施风险：收购中远海运大连投资有限公司100%股权并吸收合并事项的最终交易价格仍以国资主管部门备案的评估价格为准，截至2026年9月14日尚未确认最终备案及完成时间，交易实施进度和实际资金安排存在不确定性。</w:t>
      </w:r>
    </w:p>
    <w:p>
      <w:pPr>
        <w:pStyle w:val="ListParagraph"/>
        <w:numPr>
          <w:ilvl w:val="0"/>
          <w:numId w:val="2"/>
        </w:numPr>
        <w:spacing w:after="80" w:line="280"/>
      </w:pPr>
      <w:r>
        <w:rPr>
          <w:sz w:val="22"/>
          <w:szCs w:val="22"/>
        </w:rPr>
        <w:t xml:space="preserve">技术面回撤与市场预期波动风险：截至2026年9月11日股价已从近期高位回落，收盘价低于MA5和MA10；若跌破20.20元并进一步失守19.60元，可能向MA20约19.37元附近回撤。技术指标仅反映历史价格和资金变化，无法排除油运、消息面或市场整体波动造成的超预期变化。</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核心增长逻辑在于国际油运景气回升带来的运价弹性，以及大型油轮船队、内贸COA基础货源和LNG长期项目形成的业务组合。2026年上半年扣非利润增速高于归母利润增速，说明本期业绩改善主要体现为经营性利润提升；若国际油运需求、航线重构及运价维持较高水平，新增和在建运力有望扩大收入与利润弹性。</w:t>
      </w:r>
    </w:p>
    <w:p>
      <w:pPr>
        <w:spacing w:after="160" w:line="300"/>
      </w:pPr>
      <w:r>
        <w:rPr>
          <w:sz w:val="22"/>
          <w:szCs w:val="22"/>
        </w:rPr>
        <w:t xml:space="preserve">中长期业绩仍具有显著周期属性。2024年主营业务收入同比增长2.5%，但主营业务成本增长5.8%，综合毛利率下降至26.9%；历史上国际油运低迷曾导致2021年大额资产减值及亏损，说明高景气盈利不具备线性外推特征。船舶建造、租船、燃油及融资等成本投入较重，未来盈利质量需要结合运价、船队交付节奏、租金和资本开支共同观察。</w:t>
      </w:r>
    </w:p>
    <w:p>
      <w:pPr>
        <w:spacing w:after="160" w:line="300"/>
      </w:pPr>
      <w:r>
        <w:rPr>
          <w:sz w:val="22"/>
          <w:szCs w:val="22"/>
        </w:rPr>
        <w:t xml:space="preserve">公司拟实施每股0.28元的2026年中期现金分红，但股权登记日、除权除息日及实际发放日截至2026年9月14日尚待后续公告确认；收购中远海运大连投资有限公司100%股权并吸收合并事项的最终备案价格及实施进度也尚未确定。后续重点关注半年度业绩说明会披露的下半年经营、运力投放和资本开支安排，以及油运景气变化能否支撑市场对2026—2028年盈利预测的兑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股份有限公司2024年年度报告 — https://static.cninfo.com.cn/finalpage/2025-03-27/1222911729.PDF?utm_source=openai</w:t>
      </w:r>
    </w:p>
    <w:p>
      <w:pPr>
        <w:spacing w:after="200"/>
      </w:pPr>
      <w:r>
        <w:rPr>
          <w:i/>
          <w:iCs/>
          <w:color w:val="595959"/>
          <w:sz w:val="18"/>
          <w:szCs w:val="18"/>
        </w:rPr>
        <w:t xml:space="preserve">中远海能(600026)_公司公告_中远海能：2024年年度报告新浪财经_新浪网 — https://money.finance.sina.com.cn/corp/view/vCB_AllBulletinDetail.php?id=10810589&amp;stockid=600026&amp;utm_source=openai</w:t>
      </w:r>
    </w:p>
    <w:p>
      <w:pPr>
        <w:spacing w:after="200"/>
      </w:pPr>
      <w:r>
        <w:rPr>
          <w:i/>
          <w:iCs/>
          <w:color w:val="595959"/>
          <w:sz w:val="18"/>
          <w:szCs w:val="18"/>
        </w:rPr>
        <w:t xml:space="preserve">中远海能(600026)_公司公告_中远海能：2024年年度报告新浪财经_新浪网 — https://vip.stock.finance.sina.com.cn/corp/view/vCB_AllBulletinDetail.php?CompanyCode=10000016&amp;gather=1&amp;id=10810589&amp;utm_source=openai</w:t>
      </w:r>
    </w:p>
    <w:p>
      <w:pPr>
        <w:spacing w:after="200"/>
      </w:pPr>
      <w:r>
        <w:rPr>
          <w:i/>
          <w:iCs/>
          <w:color w:val="595959"/>
          <w:sz w:val="18"/>
          <w:szCs w:val="18"/>
        </w:rPr>
        <w:t xml:space="preserve">中远海运能源运输股份有限公司2024年年度报告 — https://static.cninfo.com.cn/finalpage/2025-03-27/1222911720.PDF</w:t>
      </w:r>
    </w:p>
    <w:p>
      <w:pPr>
        <w:spacing w:after="200"/>
      </w:pPr>
      <w:r>
        <w:rPr>
          <w:i/>
          <w:iCs/>
          <w:color w:val="595959"/>
          <w:sz w:val="18"/>
          <w:szCs w:val="18"/>
        </w:rPr>
        <w:t xml:space="preserve">中远海运能源运输股份有限公司2024年年度报告 — https://www.100est.com/res/financial-report/r2024/SH600026_202503261647816811.pdf?utm_source=openai</w:t>
      </w:r>
    </w:p>
    <w:p>
      <w:pPr>
        <w:spacing w:after="200"/>
      </w:pPr>
      <w:r>
        <w:rPr>
          <w:i/>
          <w:iCs/>
          <w:color w:val="595959"/>
          <w:sz w:val="18"/>
          <w:szCs w:val="18"/>
        </w:rPr>
        <w:t xml:space="preserve">中远海能(600026)_公司公告_中远海能：中远海能2021年年度报告新浪财经_新浪网 — https://money.finance.sina.com.cn/corp/view/vCB_AllBulletinDetail.php?id=7943787&amp;stockid=600026&amp;utm_source=openai</w:t>
      </w:r>
    </w:p>
    <w:p>
      <w:pPr>
        <w:spacing w:after="200"/>
      </w:pPr>
      <w:r>
        <w:rPr>
          <w:i/>
          <w:iCs/>
          <w:color w:val="595959"/>
          <w:sz w:val="18"/>
          <w:szCs w:val="18"/>
        </w:rPr>
        <w:t xml:space="preserve">公司公告_中远海能：2022年年度报告新浪财经_新浪网 — https://vip.stock.finance.sina.com.cn/corp/view/vCB_AllBulletinDetail.php?id=8937219&amp;utm_source=openai</w:t>
      </w:r>
    </w:p>
    <w:p>
      <w:pPr>
        <w:spacing w:after="200"/>
      </w:pPr>
      <w:r>
        <w:rPr>
          <w:i/>
          <w:iCs/>
          <w:color w:val="595959"/>
          <w:sz w:val="18"/>
          <w:szCs w:val="18"/>
        </w:rPr>
        <w:t xml:space="preserve">中远海能(600026)的历史市盈率,历史市净率,历史股息率,新闻,财报,研报,数据 - 理财大视野 — https://dashiyetouzi.com/tools/stock.php?stock_id=600026&amp;utm_source=openai</w:t>
      </w:r>
    </w:p>
    <w:p>
      <w:pPr>
        <w:spacing w:after="200"/>
      </w:pPr>
      <w:r>
        <w:rPr>
          <w:i/>
          <w:iCs/>
          <w:color w:val="595959"/>
          <w:sz w:val="18"/>
          <w:szCs w:val="18"/>
        </w:rPr>
        <w:t xml:space="preserve">股份有限公司 — https://static.cninfo.com.cn/finalpage/2024-03-26/1219406315.PDF?utm_source=openai</w:t>
      </w:r>
    </w:p>
    <w:p>
      <w:pPr>
        <w:spacing w:after="200"/>
      </w:pPr>
      <w:r>
        <w:rPr>
          <w:i/>
          <w:iCs/>
          <w:color w:val="595959"/>
          <w:sz w:val="18"/>
          <w:szCs w:val="18"/>
        </w:rPr>
        <w:t xml:space="preserve">2. 行业集中度与竞争性 — https://static.sse.com.cn/disclosure/bond/announcement/company/c/new/2025-06-27/155009_20250627_7ZV6.pdf?utm_source=openai</w:t>
      </w:r>
    </w:p>
    <w:p>
      <w:pPr>
        <w:spacing w:after="200"/>
      </w:pPr>
      <w:r>
        <w:rPr>
          <w:i/>
          <w:iCs/>
          <w:color w:val="595959"/>
          <w:sz w:val="18"/>
          <w:szCs w:val="18"/>
        </w:rPr>
        <w:t xml:space="preserve">招商轮船(601872)_公司公告_招商轮船：2024年年度报告新浪财经_新浪网 — https://vip.stock.finance.sina.com.cn/corp/view/vCB_AllBulletinDetail.php?id=10819005&amp;stockid=601872&amp;utm_source=openai</w:t>
      </w:r>
    </w:p>
    <w:p>
      <w:pPr>
        <w:spacing w:after="200"/>
      </w:pPr>
      <w:r>
        <w:rPr>
          <w:i/>
          <w:iCs/>
          <w:color w:val="595959"/>
          <w:sz w:val="18"/>
          <w:szCs w:val="18"/>
        </w:rPr>
        <w:t xml:space="preserve">招商南油(601975)_公司公告_招商南油：2024年年度报告新浪财经_新浪网 — https://money.finance.sina.com.cn/corp/view/vCB_AllBulletinDetail.php?id=10803436&amp;stockid=601975&amp;utm_source=openai</w:t>
      </w:r>
    </w:p>
    <w:p>
      <w:pPr>
        <w:spacing w:after="200"/>
      </w:pPr>
      <w:r>
        <w:rPr>
          <w:i/>
          <w:iCs/>
          <w:color w:val="595959"/>
          <w:sz w:val="18"/>
          <w:szCs w:val="18"/>
        </w:rPr>
        <w:t xml:space="preserve">股份有限公司2024年年度报告 — https://static.cninfo.com.cn/finalpage/2025-03-25/1222882693.PDF?utm_source=openai</w:t>
      </w:r>
    </w:p>
    <w:p>
      <w:pPr>
        <w:spacing w:after="200"/>
      </w:pPr>
      <w:r>
        <w:rPr>
          <w:i/>
          <w:iCs/>
          <w:color w:val="595959"/>
          <w:sz w:val="18"/>
          <w:szCs w:val="18"/>
        </w:rPr>
        <w:t xml:space="preserve">盛航股份(001205)_公司公告_盛航股份：2024年年度报告新浪财经_新浪网 — https://vip.stock.finance.sina.com.cn/corp/view/vCB_AllBulletinDetail.php?id=10984202&amp;stockid=001205&amp;utm_source=openai</w:t>
      </w:r>
    </w:p>
    <w:p>
      <w:pPr>
        <w:spacing w:after="200"/>
      </w:pPr>
      <w:r>
        <w:rPr>
          <w:i/>
          <w:iCs/>
          <w:color w:val="595959"/>
          <w:sz w:val="18"/>
          <w:szCs w:val="18"/>
        </w:rPr>
        <w:t xml:space="preserve">中远海能(600026)_公司公告_中远海能：2026年半年度报告摘要新浪财经_新浪网 — https://money.finance.sina.com.cn/corp/view/vCB_AllBulletinDetail.php?id=12566975&amp;stockid=600026</w:t>
      </w:r>
    </w:p>
    <w:p>
      <w:pPr>
        <w:spacing w:after="200"/>
      </w:pPr>
      <w:r>
        <w:rPr>
          <w:i/>
          <w:iCs/>
          <w:color w:val="595959"/>
          <w:sz w:val="18"/>
          <w:szCs w:val="18"/>
        </w:rPr>
        <w:t xml:space="preserve">中远海能(600026)_公司公告_中远海能：2026年半年度报告新浪财经_新浪网 — https://vip.stock.finance.sina.com.cn/corp/view/vCB_AllBulletinDetail.php?id=12566974&amp;stockid=600026&amp;utm_source=openai</w:t>
      </w:r>
    </w:p>
    <w:p>
      <w:pPr>
        <w:spacing w:after="200"/>
      </w:pPr>
      <w:r>
        <w:rPr>
          <w:i/>
          <w:iCs/>
          <w:color w:val="595959"/>
          <w:sz w:val="18"/>
          <w:szCs w:val="18"/>
        </w:rPr>
        <w:t xml:space="preserve">中远海能(600026)_公司公告_中远海能：2025年年度报告新浪财经_新浪网 — https://money.finance.sina.com.cn/corp/view/vCB_AllBulletinDetail.php?id=12024345&amp;stockid=600026&amp;utm_source=openai</w:t>
      </w:r>
    </w:p>
    <w:p>
      <w:pPr>
        <w:spacing w:after="200"/>
      </w:pPr>
      <w:r>
        <w:rPr>
          <w:i/>
          <w:iCs/>
          <w:color w:val="595959"/>
          <w:sz w:val="18"/>
          <w:szCs w:val="18"/>
        </w:rPr>
        <w:t xml:space="preserve">中远海能(600026)机构预测_证券之星 — https://stock.quote.stockstar.com/finance/predict_600026.shtml</w:t>
      </w:r>
    </w:p>
    <w:p>
      <w:pPr>
        <w:spacing w:after="200"/>
      </w:pPr>
      <w:r>
        <w:rPr>
          <w:i/>
          <w:iCs/>
          <w:color w:val="595959"/>
          <w:sz w:val="18"/>
          <w:szCs w:val="18"/>
        </w:rPr>
        <w:t xml:space="preserve">中远海能(600026) 盈利预测_F10_同花顺金融服务网 — https://basic.10jqka.com.cn/600026/worth.html?utm_source=openai</w:t>
      </w:r>
    </w:p>
    <w:p>
      <w:pPr>
        <w:spacing w:after="200"/>
      </w:pPr>
      <w:r>
        <w:rPr>
          <w:i/>
          <w:iCs/>
          <w:color w:val="595959"/>
          <w:sz w:val="18"/>
          <w:szCs w:val="18"/>
        </w:rPr>
        <w:t xml:space="preserve">https://reportify.cn/reports/1273772076959928320?utm_source=openai — https://reportify.cn/reports/1273772076959928320?utm_source=openai</w:t>
      </w:r>
    </w:p>
    <w:p>
      <w:pPr>
        <w:spacing w:after="200"/>
      </w:pPr>
      <w:r>
        <w:rPr>
          <w:i/>
          <w:iCs/>
          <w:color w:val="595959"/>
          <w:sz w:val="18"/>
          <w:szCs w:val="18"/>
        </w:rPr>
        <w:t xml:space="preserve">中远海能(600026)2026年中报业绩点评：Q2效率损失仍业绩高增 Q3环比提升可期 — https://quote.cfi.cn/ybdata.aspx?id=20260909000247&amp;utm_source=openai</w:t>
      </w:r>
    </w:p>
    <w:p>
      <w:pPr>
        <w:spacing w:after="200"/>
      </w:pPr>
      <w:r>
        <w:rPr>
          <w:i/>
          <w:iCs/>
          <w:color w:val="595959"/>
          <w:sz w:val="18"/>
          <w:szCs w:val="18"/>
        </w:rPr>
        <w:t xml:space="preserve">中远海能(600026) 盈利预测_F10_同花顺金融服务网 — https://basic.10jqka.com.cn/600026/worth.html</w:t>
      </w:r>
    </w:p>
    <w:p>
      <w:pPr>
        <w:spacing w:after="200"/>
      </w:pPr>
      <w:r>
        <w:rPr>
          <w:i/>
          <w:iCs/>
          <w:color w:val="595959"/>
          <w:sz w:val="18"/>
          <w:szCs w:val="18"/>
        </w:rPr>
        <w:t xml:space="preserve">机构评级|2家机构更新中远海能评级 — https://stock.10jqka.com.cn/20260401/c675697698.shtml</w:t>
      </w:r>
    </w:p>
    <w:p>
      <w:pPr>
        <w:spacing w:after="200"/>
      </w:pPr>
      <w:r>
        <w:rPr>
          <w:i/>
          <w:iCs/>
          <w:color w:val="595959"/>
          <w:sz w:val="18"/>
          <w:szCs w:val="18"/>
        </w:rPr>
        <w:t xml:space="preserve">中远海能 sh600026 的股票股价,行情,直播,新闻,财报,数据 - 爱股票 — https://stock.aigupiao.com/code/sh600026?utm_source=openai</w:t>
      </w:r>
    </w:p>
    <w:p>
      <w:pPr>
        <w:spacing w:after="200"/>
      </w:pPr>
      <w:r>
        <w:rPr>
          <w:i/>
          <w:iCs/>
          <w:color w:val="595959"/>
          <w:sz w:val="18"/>
          <w:szCs w:val="18"/>
        </w:rPr>
        <w:t xml:space="preserve">中远海能(600026)市盈率|估值|基本面 - 理杏仁 — https://www.lixinger.com/equity/company/detail/sh/600026/600026/fundamental/valuation/pe-ttm?utm_source=openai</w:t>
      </w:r>
    </w:p>
    <w:p>
      <w:pPr>
        <w:spacing w:after="200"/>
      </w:pPr>
      <w:r>
        <w:rPr>
          <w:i/>
          <w:iCs/>
          <w:color w:val="595959"/>
          <w:sz w:val="18"/>
          <w:szCs w:val="18"/>
        </w:rPr>
        <w:t xml:space="preserve">中远海能(600026)公司资料_新浪财经_新浪网 — https://money.finance.sina.com.cn/corp/go.php/vCI_CorpInfo/stockid/600026.phtml?utm_source=openai</w:t>
      </w:r>
    </w:p>
    <w:p>
      <w:pPr>
        <w:spacing w:after="200"/>
      </w:pPr>
      <w:r>
        <w:rPr>
          <w:i/>
          <w:iCs/>
          <w:color w:val="595959"/>
          <w:sz w:val="18"/>
          <w:szCs w:val="18"/>
        </w:rPr>
        <w:t xml:space="preserve">中远海能(600026)_公司公告_中远海能：2026年半年度业绩预增公告新浪财经_新浪网 — https://vip.stock.finance.sina.com.cn/corp/view/vCB_AllBulletinDetail.php?id=12439543&amp;stockid=600026&amp;utm_source=openai</w:t>
      </w:r>
    </w:p>
    <w:p>
      <w:pPr>
        <w:spacing w:after="200"/>
      </w:pPr>
      <w:r>
        <w:rPr>
          <w:i/>
          <w:iCs/>
          <w:color w:val="595959"/>
          <w:sz w:val="18"/>
          <w:szCs w:val="18"/>
        </w:rPr>
        <w:t xml:space="preserve">中远海能(600026)交易提示_证券之星 — https://stock.quote.stockstar.com/info/notice_600026.shtml?utm_source=openai</w:t>
      </w:r>
    </w:p>
    <w:p>
      <w:pPr>
        <w:spacing w:after="200"/>
      </w:pPr>
      <w:r>
        <w:rPr>
          <w:i/>
          <w:iCs/>
          <w:color w:val="595959"/>
          <w:sz w:val="18"/>
          <w:szCs w:val="18"/>
        </w:rPr>
        <w:t xml:space="preserve">中远海能(600026)_公司公告_中远海能：关于召开2026年半年度业绩说明会的公告新浪财经_新浪网 — https://vip.stock.finance.sina.com.cn/corp/view/vCB_AllBulletinDetail.php?id=12594095&amp;stockid=600026&amp;utm_source=openai</w:t>
      </w:r>
    </w:p>
    <w:p>
      <w:pPr>
        <w:spacing w:after="200"/>
      </w:pPr>
      <w:r>
        <w:rPr>
          <w:i/>
          <w:iCs/>
          <w:color w:val="595959"/>
          <w:sz w:val="18"/>
          <w:szCs w:val="18"/>
        </w:rPr>
        <w:t xml:space="preserve">中远海能(600026)_公司公告_中远海能：2026年中期利润分配方案公告新浪财经_新浪网 — https://money.finance.sina.com.cn/corp/view/vCB_AllBulletinDetail.php?id=12566972&amp;stockid=600026&amp;utm_source=openai</w:t>
      </w:r>
    </w:p>
    <w:p>
      <w:pPr>
        <w:spacing w:after="200"/>
      </w:pPr>
      <w:r>
        <w:rPr>
          <w:i/>
          <w:iCs/>
          <w:color w:val="595959"/>
          <w:sz w:val="18"/>
          <w:szCs w:val="18"/>
        </w:rPr>
        <w:t xml:space="preserve">（公告编号：2026-012）。 — https://static.cninfo.com.cn/finalpage/2026-03-27/1225038048.PDF?utm_source=openai</w:t>
      </w:r>
    </w:p>
    <w:p>
      <w:pPr>
        <w:spacing w:after="200"/>
      </w:pPr>
      <w:r>
        <w:rPr>
          <w:i/>
          <w:iCs/>
          <w:color w:val="595959"/>
          <w:sz w:val="18"/>
          <w:szCs w:val="18"/>
        </w:rPr>
        <w:t xml:space="preserve">公司公告_中远海能：部分董事及高级管理人员减持股份结果公告新浪财经_新浪网 — https://vip.stock.finance.sina.com.cn/corp/view/vCB_AllBulletinDetail.php?id=12487742&amp;utm_source=openai</w:t>
      </w:r>
    </w:p>
    <w:p>
      <w:pPr>
        <w:spacing w:after="200"/>
      </w:pPr>
      <w:r>
        <w:rPr>
          <w:i/>
          <w:iCs/>
          <w:color w:val="595959"/>
          <w:sz w:val="18"/>
          <w:szCs w:val="18"/>
        </w:rPr>
        <w:t xml:space="preserve">中远海能：王威辞去非执行董事等职位 _ 东方财富网 — https://finance.eastmoney.com/a/202609013861528672.html?utm_source=openai</w:t>
      </w:r>
    </w:p>
    <w:p>
      <w:pPr>
        <w:spacing w:after="200"/>
      </w:pPr>
      <w:r>
        <w:rPr>
          <w:i/>
          <w:iCs/>
          <w:color w:val="595959"/>
          <w:sz w:val="18"/>
          <w:szCs w:val="18"/>
        </w:rPr>
        <w:t xml:space="preserve">中远海能(600026)公司公告_新浪财经_新浪网 — https://money.finance.sina.com.cn/corp/go.php/vCB_AllBulletin/stockid/600026.phtml?ftype=lsgg&amp;utm_source=openai</w:t>
      </w:r>
    </w:p>
    <w:p>
      <w:pPr>
        <w:spacing w:after="200"/>
      </w:pPr>
      <w:r>
        <w:rPr>
          <w:i/>
          <w:iCs/>
          <w:color w:val="595959"/>
          <w:sz w:val="18"/>
          <w:szCs w:val="18"/>
        </w:rPr>
        <w:t xml:space="preserve">中远海能(600026)_公司公告_中远海能：关于全资子公司收购中远海运大连投资有限公司100%股权并实施吸收合并暨关联交易的公告新浪财经_新浪网 — https://money.finance.sina.com.cn/corp/view/vCB_AllBulletinDetail.php?id=12215419&amp;stockid=600026&amp;utm_source=openai</w:t>
      </w:r>
    </w:p>
    <w:p>
      <w:pPr>
        <w:spacing w:after="200"/>
      </w:pPr>
      <w:r>
        <w:rPr>
          <w:i/>
          <w:iCs/>
          <w:color w:val="595959"/>
          <w:sz w:val="18"/>
          <w:szCs w:val="18"/>
        </w:rPr>
        <w:t xml:space="preserve">中远海能(600026)_公司公告_中远海能：2026年半年度报告新浪财经_新浪网 — https://money.finance.sina.com.cn/corp/view/vCB_AllBulletinDetail.php?id=12566974&amp;stockid=600026&amp;utm_source=openai</w:t>
      </w:r>
    </w:p>
    <w:p>
      <w:pPr>
        <w:spacing w:after="200"/>
      </w:pPr>
      <w:r>
        <w:rPr>
          <w:i/>
          <w:iCs/>
          <w:color w:val="595959"/>
          <w:sz w:val="18"/>
          <w:szCs w:val="18"/>
        </w:rPr>
        <w:t xml:space="preserve">监管问询 | 上海证券交易所 — https://www.sse.com.cn/star/credibility/inquiries/?utm_source=openai</w:t>
      </w:r>
    </w:p>
    <w:p>
      <w:pPr>
        <w:spacing w:after="200"/>
      </w:pPr>
      <w:r>
        <w:rPr>
          <w:i/>
          <w:iCs/>
          <w:color w:val="595959"/>
          <w:sz w:val="18"/>
          <w:szCs w:val="18"/>
        </w:rPr>
        <w:t xml:space="preserve">关于融资融券标的证券2026年第二季度定期调整有关事项的通知 | 上海证券交易所 — https://www.sse.com.cn/lawandrules/sselawsrules2025/trade/specific/margin/c/c_20260710_10825136.shtml?utm_source=openai</w:t>
      </w:r>
    </w:p>
    <w:p>
      <w:pPr>
        <w:spacing w:after="200"/>
      </w:pPr>
      <w:r>
        <w:rPr>
          <w:i/>
          <w:iCs/>
          <w:color w:val="595959"/>
          <w:sz w:val="18"/>
          <w:szCs w:val="18"/>
        </w:rPr>
        <w:t xml:space="preserve">股票简称：中远海能　　股票代码：600026　　公告编号：2026-010 — https://stockn.xueqiu.com/01138/20260303697237.pdf?utm_source=openai</w:t>
      </w:r>
    </w:p>
    <w:p>
      <w:pPr>
        <w:spacing w:after="200"/>
      </w:pPr>
      <w:r>
        <w:rPr>
          <w:i/>
          <w:iCs/>
          <w:color w:val="595959"/>
          <w:sz w:val="18"/>
          <w:szCs w:val="18"/>
        </w:rPr>
        <w:t xml:space="preserve">中远海能(600026)_公司公告_中远海能：2026年第三次临时股东会决议公告新浪财经_新浪网 — https://money.finance.sina.com.cn/corp/view/vCB_AllBulletinDetail.php?id=12578768&amp;stockid=600026&amp;utm_source=openai</w:t>
      </w:r>
    </w:p>
    <w:p>
      <w:pPr>
        <w:spacing w:after="200"/>
      </w:pPr>
      <w:r>
        <w:rPr>
          <w:i/>
          <w:iCs/>
          <w:color w:val="595959"/>
          <w:sz w:val="18"/>
          <w:szCs w:val="18"/>
        </w:rPr>
        <w:t xml:space="preserve">中远海能(600026)股票信息 - 数据平台 — https://data.agoer.com/cms/Index/detail?id=600026&amp;utm_source=openai</w:t>
      </w:r>
    </w:p>
    <w:p>
      <w:pPr>
        <w:spacing w:after="200"/>
      </w:pPr>
      <w:r>
        <w:rPr>
          <w:i/>
          <w:iCs/>
          <w:color w:val="595959"/>
          <w:sz w:val="18"/>
          <w:szCs w:val="18"/>
        </w:rPr>
        <w:t xml:space="preserve">中远海能(600026)_股票行情，行情首页_中财网 — https://quote.cfi.cn/quote.aspx?client=pc&amp;lm=yb_stock&amp;stockid=882&amp;utm_source=openai</w:t>
      </w:r>
    </w:p>
    <w:p>
      <w:pPr>
        <w:spacing w:after="200"/>
      </w:pPr>
      <w:r>
        <w:rPr>
          <w:i/>
          <w:iCs/>
          <w:color w:val="595959"/>
          <w:sz w:val="18"/>
          <w:szCs w:val="18"/>
        </w:rPr>
        <w:t xml:space="preserve">集友银行 — https://content5.etninfo.com/content/cyuwebV2/asharecontent/sc/ashare_quote.php?code=600026&amp;utm_source=openai</w:t>
      </w:r>
    </w:p>
    <w:p>
      <w:pPr>
        <w:spacing w:after="200"/>
      </w:pPr>
      <w:r>
        <w:rPr>
          <w:i/>
          <w:iCs/>
          <w:color w:val="595959"/>
          <w:sz w:val="18"/>
          <w:szCs w:val="18"/>
        </w:rPr>
        <w:t xml:space="preserve">COSCO Shipping Energy Transportation Co Ltd (600026)歷史價格 - Investing.com — https://hk.investing.com/equities/china-ship-historical-data?utm_source=openai</w:t>
      </w:r>
    </w:p>
    <w:p>
      <w:pPr>
        <w:spacing w:after="200"/>
      </w:pPr>
      <w:r>
        <w:rPr>
          <w:i/>
          <w:iCs/>
          <w:color w:val="595959"/>
          <w:sz w:val="18"/>
          <w:szCs w:val="18"/>
        </w:rPr>
        <w:t xml:space="preserve">COSCO Shipping Energy Transportation Co Ltd股票技術分析 (600026) — https://hk.investing.com/equities/china-ship-technical?utm_source=openai</w:t>
      </w:r>
    </w:p>
    <w:p>
      <w:pPr>
        <w:spacing w:after="200"/>
      </w:pPr>
      <w:r>
        <w:rPr>
          <w:i/>
          <w:iCs/>
          <w:color w:val="595959"/>
          <w:sz w:val="18"/>
          <w:szCs w:val="18"/>
        </w:rPr>
        <w:t xml:space="preserve">中远海能(600026)_资金流向_证券之星 — https://stock.quote.stockstar.com/capital_600026.shtml</w:t>
      </w:r>
    </w:p>
    <w:p>
      <w:pPr>
        <w:spacing w:after="200"/>
      </w:pPr>
      <w:r>
        <w:rPr>
          <w:i/>
          <w:iCs/>
          <w:color w:val="595959"/>
          <w:sz w:val="18"/>
          <w:szCs w:val="18"/>
        </w:rPr>
        <w:t xml:space="preserve">中远海能 (600026) - 历史交易数据 | 打板客网 — https://dabanke.com/hangqing-600026.html?utm_source=openai</w:t>
      </w:r>
    </w:p>
    <w:p>
      <w:pPr>
        <w:spacing w:after="200"/>
      </w:pPr>
      <w:r>
        <w:rPr>
          <w:i/>
          <w:iCs/>
          <w:color w:val="595959"/>
          <w:sz w:val="18"/>
          <w:szCs w:val="18"/>
        </w:rPr>
        <w:t xml:space="preserve">中远海能(600026)_公司公告_中远海能：2026年半年度报告新浪财经_新浪网 — https://money.finance.sina.com.cn/corp/view/vCB_AllBulletinDetail.php?id=12566974&amp;stockid=600026</w:t>
      </w:r>
    </w:p>
    <w:p>
      <w:pPr>
        <w:spacing w:after="200"/>
      </w:pPr>
      <w:r>
        <w:rPr>
          <w:i/>
          <w:iCs/>
          <w:color w:val="595959"/>
          <w:sz w:val="18"/>
          <w:szCs w:val="18"/>
        </w:rPr>
        <w:t xml:space="preserve">本报告由AI基于公开渠道信息自动检索、整理并生成，信息截至 行情及技术指标主要截至2026年9月11日收盘；股东集中度数据截至2026年6月30日，存在约两个半月时滞。2026年9月12—13日为周末，未产生新的A股收盘价。，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2026-09-14T04:54:48.066Z</dcterms:created>
  <dcterms:modified xsi:type="dcterms:W3CDTF">2026-09-14T04:54:48.066Z</dcterms:modified>
</cp:coreProperties>
</file>

<file path=docProps/custom.xml><?xml version="1.0" encoding="utf-8"?>
<Properties xmlns="http://schemas.openxmlformats.org/officeDocument/2006/custom-properties" xmlns:vt="http://schemas.openxmlformats.org/officeDocument/2006/docPropsVTypes"/>
</file>