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江苏澄星磷化工股份有限公司 (600078)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行业：磷化工</w:t>
      </w:r>
    </w:p>
    <w:p>
      <w:pPr>
        <w:jc w:val="center"/>
      </w:pPr>
      <w:r>
        <w:rPr>
          <w:color w:val="595959"/>
          <w:sz w:val="22"/>
          <w:szCs w:val="22"/>
        </w:rPr>
        <w:t xml:space="preserve">报告日期：2026年10月1日</w:t>
      </w:r>
    </w:p>
    <w:p>
      <w:pPr>
        <w:jc w:val="center"/>
      </w:pPr>
      <w:r>
        <w:rPr>
          <w:color w:val="595959"/>
          <w:sz w:val="20"/>
          <w:szCs w:val="20"/>
        </w:rPr>
        <w:t xml:space="preserve">行情及技术指标截至2026年9月30日收盘</w:t>
      </w:r>
    </w:p>
    <w:p>
      <w:pPr>
        <w:spacing w:before="800"/>
        <w:jc w:val="center"/>
      </w:pPr>
      <w:r>
        <w:rPr>
          <w:i/>
          <w:iCs/>
          <w:color w:val="595959"/>
          <w:sz w:val="18"/>
          <w:szCs w:val="18"/>
        </w:rPr>
        <w:t xml:space="preserve">本报告基于公开信息由AI自动整理生成，仅供参考，不构成投资建议</w:t>
      </w:r>
    </w:p>
    <w:p>
      <w:r>
        <w:br w:type="page"/>
      </w:r>
    </w:p>
    <w:p>
      <w:pPr>
        <w:spacing w:after="160" w:line="300"/>
      </w:pPr>
      <w:r>
        <w:rPr>
          <w:b/>
          <w:bCs/>
          <w:color w:val="1F4E79"/>
          <w:sz w:val="22"/>
          <w:szCs w:val="22"/>
        </w:rPr>
        <w:t xml:space="preserve">核心结论：盈利从低谷反弹，但修复能否持续尚待验证，估值已要求较高增长</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3200"/>
        <w:gridCol w:w="6700"/>
      </w:tblGrid>
      <w:tr>
        <w:trPr>
          <w:tblHeader/>
        </w:trPr>
        <w:tc>
          <w:tcPr>
            <w:tcW w:type="dxa" w:w="3200"/>
            <w:shd w:fill="1F4E79" w:val="clear"/>
            <w:tcMar>
              <w:top w:type="dxa" w:w="80"/>
              <w:left w:type="dxa" w:w="100"/>
              <w:bottom w:type="dxa" w:w="80"/>
              <w:right w:type="dxa" w:w="100"/>
            </w:tcMar>
            <w:vAlign w:val="center"/>
          </w:tcPr>
          <w:p>
            <w:pPr>
              <w:jc w:val="center"/>
            </w:pPr>
            <w:r>
              <w:rPr>
                <w:b/>
                <w:bCs/>
                <w:color w:val="FFFFFF"/>
                <w:sz w:val="20"/>
                <w:szCs w:val="20"/>
              </w:rPr>
              <w:t xml:space="preserve">关键数据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收盘价（当日涨跌）</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9.79元（+0.1%）</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约66.54亿元</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61.87倍</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3.7倍</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6.21～16.88元</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成交额/换手率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4751.3万元/0.73%</w:t>
            </w:r>
          </w:p>
        </w:tc>
      </w:tr>
    </w:tbl>
    <w:p>
      <w:pPr>
        <w:spacing w:before="200"/>
      </w:pPr>
    </w:p>
    <w:p>
      <w:pPr>
        <w:spacing w:after="200"/>
      </w:pPr>
      <w:r>
        <w:rPr>
          <w:i/>
          <w:iCs/>
          <w:color w:val="595959"/>
          <w:sz w:val="18"/>
          <w:szCs w:val="18"/>
        </w:rPr>
        <w:t xml:space="preserve">行情数据截至：行情及技术指标截至2026年9月30日收盘</w:t>
      </w:r>
    </w:p>
    <w:p>
      <w:pPr>
        <w:pStyle w:val="Heading1"/>
        <w:pBdr>
          <w:bottom w:val="single" w:color="1F4E79" w:sz="6" w:space="4"/>
        </w:pBdr>
        <w:spacing w:after="160" w:before="360"/>
      </w:pPr>
      <w:r>
        <w:rPr>
          <w:b/>
          <w:bCs/>
          <w:color w:val="1F4E79"/>
          <w:sz w:val="30"/>
          <w:szCs w:val="30"/>
        </w:rPr>
        <w:t xml:space="preserve">一、投资要点</w:t>
      </w:r>
    </w:p>
    <w:p>
      <w:pPr>
        <w:pStyle w:val="ListParagraph"/>
        <w:numPr>
          <w:ilvl w:val="0"/>
          <w:numId w:val="2"/>
        </w:numPr>
        <w:spacing w:after="80" w:line="280"/>
      </w:pPr>
      <w:r>
        <w:rPr>
          <w:b/>
          <w:bCs/>
          <w:sz w:val="22"/>
          <w:szCs w:val="22"/>
        </w:rPr>
        <w:t xml:space="preserve">盈利已由周期低谷显著修复</w:t>
      </w:r>
      <w:r>
        <w:rPr>
          <w:sz w:val="22"/>
          <w:szCs w:val="22"/>
        </w:rPr>
        <w:t xml:space="preserve">：2026年上半年营收21.38亿元、同比增20.37%，归母净利1.1763亿元、同比增533.75%；扣非由亏转盈，但同比增幅受低基数影响。</w:t>
      </w:r>
    </w:p>
    <w:p>
      <w:pPr>
        <w:pStyle w:val="ListParagraph"/>
        <w:numPr>
          <w:ilvl w:val="0"/>
          <w:numId w:val="2"/>
        </w:numPr>
        <w:spacing w:after="80" w:line="280"/>
      </w:pPr>
      <w:r>
        <w:rPr>
          <w:b/>
          <w:bCs/>
          <w:sz w:val="22"/>
          <w:szCs w:val="22"/>
        </w:rPr>
        <w:t xml:space="preserve">修复仍依赖价格，闲置产能待兑现</w:t>
      </w:r>
      <w:r>
        <w:rPr>
          <w:sz w:val="22"/>
          <w:szCs w:val="22"/>
        </w:rPr>
        <w:t xml:space="preserve">：上半年毛利率升至19.09%，受黄磷、磷酸价格及成本管控推动；磷酸产能利用率仅46.42%，磷酸盐仅14.53%。</w:t>
      </w:r>
    </w:p>
    <w:p>
      <w:pPr>
        <w:pStyle w:val="ListParagraph"/>
        <w:numPr>
          <w:ilvl w:val="0"/>
          <w:numId w:val="2"/>
        </w:numPr>
        <w:spacing w:after="80" w:line="280"/>
      </w:pPr>
      <w:r>
        <w:rPr>
          <w:b/>
          <w:bCs/>
          <w:sz w:val="22"/>
          <w:szCs w:val="22"/>
        </w:rPr>
        <w:t xml:space="preserve">股价对应高PE，估值要求偏高</w:t>
      </w:r>
      <w:r>
        <w:rPr>
          <w:sz w:val="22"/>
          <w:szCs w:val="22"/>
        </w:rPr>
        <w:t xml:space="preserve">：9月30日收盘9.79元，PE-TTM 61.87倍、PB 3.7倍；暂无可核实机构一致预期及目标价，难以与预期PE直接比较。</w:t>
      </w:r>
    </w:p>
    <w:p>
      <w:pPr>
        <w:pStyle w:val="Heading2"/>
        <w:spacing w:after="120" w:before="240"/>
      </w:pPr>
      <w:r>
        <w:rPr>
          <w:b/>
          <w:bCs/>
          <w:color w:val="2E74B5"/>
          <w:sz w:val="24"/>
          <w:szCs w:val="24"/>
        </w:rPr>
        <w:t xml:space="preserve">市场预期与证据</w:t>
      </w:r>
    </w:p>
    <w:p>
      <w:pPr>
        <w:pStyle w:val="ListParagraph"/>
        <w:numPr>
          <w:ilvl w:val="0"/>
          <w:numId w:val="2"/>
        </w:numPr>
        <w:spacing w:after="80" w:line="280"/>
      </w:pPr>
      <w:r>
        <w:rPr>
          <w:b/>
          <w:bCs/>
          <w:sz w:val="22"/>
          <w:szCs w:val="22"/>
        </w:rPr>
        <w:t xml:space="preserve">市场在定价</w:t>
      </w:r>
      <w:r>
        <w:rPr>
          <w:sz w:val="22"/>
          <w:szCs w:val="22"/>
        </w:rPr>
        <w:t xml:space="preserve">：61.87倍PE隐含未来10年每股收益年均增长约24.4%（假设年化回报8%、终值PE 15倍）；暂无可核实一致预期，无法判断要求高于或低于机构预期。</w:t>
      </w:r>
    </w:p>
    <w:p>
      <w:pPr>
        <w:pStyle w:val="ListParagraph"/>
        <w:numPr>
          <w:ilvl w:val="0"/>
          <w:numId w:val="2"/>
        </w:numPr>
        <w:spacing w:after="80" w:line="280"/>
      </w:pPr>
      <w:r>
        <w:rPr>
          <w:b/>
          <w:bCs/>
          <w:sz w:val="22"/>
          <w:szCs w:val="22"/>
        </w:rPr>
        <w:t xml:space="preserve">证据显示</w:t>
      </w:r>
      <w:r>
        <w:rPr>
          <w:sz w:val="22"/>
          <w:szCs w:val="22"/>
        </w:rPr>
        <w:t xml:space="preserve">：上半年收入增20.37%、毛利率升至19.09%，盈利修复已兑现；但改善主要受产品价格与成本推动，全年延续性、低利用率产能转化及24.4%的长期增速要求仍待验证。</w:t>
      </w:r>
    </w:p>
    <w:p>
      <w:pPr>
        <w:spacing w:after="160" w:line="300"/>
      </w:pPr>
      <w:r>
        <w:rPr>
          <w:b/>
          <w:bCs/>
          <w:color w:val="1F4E79"/>
          <w:sz w:val="22"/>
          <w:szCs w:val="22"/>
        </w:rPr>
        <w:t xml:space="preserve">证据倾向：均衡；置信度：中</w:t>
      </w:r>
    </w:p>
    <w:p>
      <w:pPr>
        <w:spacing w:after="160" w:line="300"/>
      </w:pPr>
      <w:r>
        <w:rPr>
          <w:sz w:val="22"/>
          <w:szCs w:val="22"/>
        </w:rPr>
        <w:t xml:space="preserve">上半年盈利与毛利率改善明确，但主要驱动偏周期性，且全年业绩和机构一致预期尚不可验证。</w:t>
      </w:r>
    </w:p>
    <w:p>
      <w:pPr>
        <w:pStyle w:val="Heading1"/>
        <w:pBdr>
          <w:bottom w:val="single" w:color="1F4E79" w:sz="6" w:space="4"/>
        </w:pBdr>
        <w:spacing w:after="160" w:before="360"/>
      </w:pPr>
      <w:r>
        <w:rPr>
          <w:b/>
          <w:bCs/>
          <w:color w:val="1F4E79"/>
          <w:sz w:val="30"/>
          <w:szCs w:val="30"/>
        </w:rPr>
        <w:t xml:space="preserve">二、生意与竞争力</w:t>
      </w:r>
    </w:p>
    <w:p>
      <w:pPr>
        <w:pStyle w:val="Heading2"/>
        <w:spacing w:after="120" w:before="240"/>
      </w:pPr>
      <w:r>
        <w:rPr>
          <w:b/>
          <w:bCs/>
          <w:color w:val="2E74B5"/>
          <w:sz w:val="24"/>
          <w:szCs w:val="24"/>
        </w:rPr>
        <w:t xml:space="preserve">2.1 业务结构</w:t>
      </w:r>
    </w:p>
    <w:p>
      <w:pPr>
        <w:spacing w:after="160" w:line="300"/>
      </w:pPr>
      <w:r>
        <w:rPr>
          <w:sz w:val="22"/>
          <w:szCs w:val="22"/>
        </w:rPr>
        <w:t xml:space="preserve">生产销售黄磷、磷酸及磷酸盐等磷化工产品，收入主要来自黄磷和磷酸，盈利受产品价格与原料、能源成本影响。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000"/>
        <w:gridCol w:w="1400"/>
        <w:gridCol w:w="1300"/>
        <w:gridCol w:w="1400"/>
        <w:gridCol w:w="3800"/>
      </w:tblGrid>
      <w:tr>
        <w:trPr>
          <w:tblHeader/>
        </w:trPr>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业务板块</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收入占比</w:t>
            </w:r>
          </w:p>
        </w:tc>
        <w:tc>
          <w:tcPr>
            <w:tcW w:type="dxa" w:w="13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收入增速</w:t>
            </w:r>
          </w:p>
        </w:tc>
        <w:tc>
          <w:tcPr>
            <w:tcW w:type="dxa" w:w="3800"/>
            <w:shd w:fill="1F4E79" w:val="clear"/>
            <w:tcMar>
              <w:top w:type="dxa" w:w="80"/>
              <w:left w:type="dxa" w:w="100"/>
              <w:bottom w:type="dxa" w:w="80"/>
              <w:right w:type="dxa" w:w="100"/>
            </w:tcMar>
            <w:vAlign w:val="center"/>
          </w:tcPr>
          <w:p>
            <w:pPr>
              <w:jc w:val="center"/>
            </w:pPr>
            <w:r>
              <w:rPr>
                <w:b/>
                <w:bCs/>
                <w:color w:val="FFFFFF"/>
                <w:sz w:val="20"/>
                <w:szCs w:val="20"/>
              </w:rPr>
              <w:t xml:space="preserve">要点</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黄磷</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48.9%（2025年主营业务收入）</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17.15%（2025年）</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6.40%（2025年同比）</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产能利用率94.75%，产量15.16万吨。</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磷酸</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45.8%（2025年主营业务收入）</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5.25%（2025年）</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13.86%（2025年同比）</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产能利用率46.42%，名义产能未充分转化为有效供给。</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磷酸盐</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3.0%（2025年主营业务收入）</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11.21%（2025年）</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-29.72%（2025年同比）</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产能利用率14.53%，搬迁项目完工时间暂不确定。</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其他化工品</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2.3%（2025年主营业务收入）</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25.29%（2025年）</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27.84%（2025年同比）</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收入规模较小。</w:t>
            </w:r>
          </w:p>
        </w:tc>
      </w:tr>
    </w:tbl>
    <w:p>
      <w:pPr>
        <w:spacing w:before="200"/>
      </w:pPr>
    </w:p>
    <w:p>
      <w:pPr>
        <w:pStyle w:val="Heading2"/>
        <w:spacing w:after="120" w:before="240"/>
      </w:pPr>
      <w:r>
        <w:rPr>
          <w:b/>
          <w:bCs/>
          <w:color w:val="2E74B5"/>
          <w:sz w:val="24"/>
          <w:szCs w:val="24"/>
        </w:rPr>
        <w:t xml:space="preserve">2.2 竞争优势</w:t>
      </w:r>
    </w:p>
    <w:p>
      <w:pPr>
        <w:spacing w:after="160" w:line="300"/>
      </w:pPr>
      <w:r>
        <w:rPr>
          <w:b/>
          <w:bCs/>
          <w:color w:val="1F4E79"/>
          <w:sz w:val="22"/>
          <w:szCs w:val="22"/>
        </w:rPr>
        <w:t xml:space="preserve">竞争优势强度：弱</w:t>
      </w:r>
    </w:p>
    <w:p>
      <w:pPr>
        <w:pStyle w:val="ListParagraph"/>
        <w:numPr>
          <w:ilvl w:val="0"/>
          <w:numId w:val="2"/>
        </w:numPr>
        <w:spacing w:after="80" w:line="280"/>
      </w:pPr>
      <w:r>
        <w:rPr>
          <w:sz w:val="22"/>
          <w:szCs w:val="22"/>
        </w:rPr>
        <w:t xml:space="preserve">部分自有磷矿及配套水电、火电，矿山主要满足自用，未披露自给率。</w:t>
      </w:r>
    </w:p>
    <w:p>
      <w:pPr>
        <w:pStyle w:val="ListParagraph"/>
        <w:numPr>
          <w:ilvl w:val="0"/>
          <w:numId w:val="2"/>
        </w:numPr>
        <w:spacing w:after="80" w:line="280"/>
      </w:pPr>
      <w:r>
        <w:rPr>
          <w:sz w:val="22"/>
          <w:szCs w:val="22"/>
        </w:rPr>
        <w:t xml:space="preserve">黄磷设计产能16万吨/年，2025年产量15.16万吨、利用率94.75%。</w:t>
      </w:r>
    </w:p>
    <w:p>
      <w:pPr>
        <w:pStyle w:val="ListParagraph"/>
        <w:numPr>
          <w:ilvl w:val="0"/>
          <w:numId w:val="2"/>
        </w:numPr>
        <w:spacing w:after="80" w:line="280"/>
      </w:pPr>
      <w:r>
        <w:rPr>
          <w:sz w:val="22"/>
          <w:szCs w:val="22"/>
        </w:rPr>
        <w:t xml:space="preserve">披露食品级、电子级磷酸等产品及长期客户合作，客户侧认证与溢价未量化。</w:t>
      </w:r>
    </w:p>
    <w:p>
      <w:pPr>
        <w:spacing w:after="160" w:line="300"/>
      </w:pPr>
      <w:r>
        <w:rPr>
          <w:sz w:val="22"/>
          <w:szCs w:val="22"/>
        </w:rPr>
        <w:t xml:space="preserve">主要威胁：黄磷、磷酸价格及矿石能源成本波动；磷酸、磷酸盐利用率偏低，另有安全环保与搬迁风险。</w:t>
      </w:r>
    </w:p>
    <w:p>
      <w:pPr>
        <w:pStyle w:val="Heading2"/>
        <w:spacing w:after="120" w:before="240"/>
      </w:pPr>
      <w:r>
        <w:rPr>
          <w:b/>
          <w:bCs/>
          <w:color w:val="2E74B5"/>
          <w:sz w:val="24"/>
          <w:szCs w:val="24"/>
        </w:rPr>
        <w:t xml:space="preserve">2.3 产业链位置与盈利趋势</w:t>
      </w:r>
    </w:p>
    <w:p>
      <w:pPr>
        <w:pStyle w:val="ListParagraph"/>
        <w:numPr>
          <w:ilvl w:val="0"/>
          <w:numId w:val="2"/>
        </w:numPr>
        <w:spacing w:after="80" w:line="280"/>
      </w:pPr>
      <w:r>
        <w:rPr>
          <w:sz w:val="22"/>
          <w:szCs w:val="22"/>
        </w:rPr>
        <w:t xml:space="preserve">主要投入包括磷矿、焦丁、电极、电煤及电力；磷酸以黄磷为原料，磷酸盐还使用磷酸、纯碱、碳酸钙。</w:t>
      </w:r>
    </w:p>
    <w:p>
      <w:pPr>
        <w:pStyle w:val="ListParagraph"/>
        <w:numPr>
          <w:ilvl w:val="0"/>
          <w:numId w:val="2"/>
        </w:numPr>
        <w:spacing w:after="80" w:line="280"/>
      </w:pPr>
      <w:r>
        <w:rPr>
          <w:sz w:val="22"/>
          <w:szCs w:val="22"/>
        </w:rPr>
        <w:t xml:space="preserve">2025年直接材料占化工主营业务成本91.29%；磷矿采购价同比涨10.43%，焦丁降20.55%，电力降6.20%。公司部分自有矿、电力，仍需外采，对投入品定价权有限。</w:t>
      </w:r>
    </w:p>
    <w:p>
      <w:pPr>
        <w:pStyle w:val="ListParagraph"/>
        <w:numPr>
          <w:ilvl w:val="0"/>
          <w:numId w:val="2"/>
        </w:numPr>
        <w:spacing w:after="80" w:line="280"/>
      </w:pPr>
      <w:r>
        <w:rPr>
          <w:sz w:val="22"/>
          <w:szCs w:val="22"/>
        </w:rPr>
        <w:t xml:space="preserve">产品用于热法磷酸及化工中间体、食品工业、日化、金属磷化和正极材料等领域；精细级产品可能形成差异化，但溢价未量化。</w:t>
      </w:r>
    </w:p>
    <w:p>
      <w:pPr>
        <w:pStyle w:val="ListParagraph"/>
        <w:numPr>
          <w:ilvl w:val="0"/>
          <w:numId w:val="2"/>
        </w:numPr>
        <w:spacing w:after="80" w:line="280"/>
      </w:pPr>
      <w:r>
        <w:rPr>
          <w:sz w:val="22"/>
          <w:szCs w:val="22"/>
        </w:rPr>
        <w:t xml:space="preserve">黄磷、磷酸受市场供需和原料成本影响，产品价格影响力有限；客户名单及账期未披露，难以判断具体客户议价能力。</w:t>
      </w:r>
    </w:p>
    <w:p>
      <w:pPr>
        <w:pStyle w:val="ListParagraph"/>
        <w:numPr>
          <w:ilvl w:val="0"/>
          <w:numId w:val="2"/>
        </w:numPr>
        <w:spacing w:after="80" w:line="280"/>
      </w:pPr>
      <w:r>
        <w:rPr>
          <w:sz w:val="22"/>
          <w:szCs w:val="22"/>
        </w:rPr>
        <w:t xml:space="preserve">2025年年报披露前五大客户占销售额21.68%，前五大供应商占采购额32.94%；未见独立交叉核实，具体以最新年报为准。</w:t>
      </w:r>
    </w:p>
    <w:p>
      <w:pPr>
        <w:pStyle w:val="ListParagraph"/>
        <w:numPr>
          <w:ilvl w:val="0"/>
          <w:numId w:val="2"/>
        </w:numPr>
        <w:spacing w:after="80" w:line="280"/>
      </w:pPr>
      <w:r>
        <w:rPr>
          <w:sz w:val="22"/>
          <w:szCs w:val="22"/>
        </w:rPr>
        <w:t xml:space="preserve">2025年末应收账款约1.04亿元，为营收2.90%、合并净利润约1.05倍；应收票据8.77亿元、同比增63.85%，预付款2,228.79万元、同比增215.16%；经营现金流净额3.77亿元。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800"/>
        <w:gridCol w:w="1800"/>
        <w:gridCol w:w="48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800"/>
            <w:shd w:fill="1F4E79" w:val="clear"/>
            <w:tcMar>
              <w:top w:type="dxa" w:w="80"/>
              <w:left w:type="dxa" w:w="100"/>
              <w:bottom w:type="dxa" w:w="80"/>
              <w:right w:type="dxa" w:w="100"/>
            </w:tcMar>
            <w:vAlign w:val="center"/>
          </w:tcPr>
          <w:p>
            <w:pPr>
              <w:jc w:val="center"/>
            </w:pPr>
            <w:r>
              <w:rPr>
                <w:b/>
                <w:bCs/>
                <w:color w:val="FFFFFF"/>
                <w:sz w:val="20"/>
                <w:szCs w:val="20"/>
              </w:rPr>
              <w:t xml:space="preserve">变动原因</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约21.77%</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约11.50%（归母）</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磷化工景气较高，产品毛利较好。</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约9.78%</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约-1.96%（归母）</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产品价格回落，磷酸承压并计提存货跌价。</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约6.94%</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约-5.93%（归母）</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需求偏弱、黄磷价格下移，磷矿成本高位。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约11.82%</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约0.24%（归母）</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黄磷、磷酸毛利回升，扣非仍亏损。</w:t>
            </w:r>
          </w:p>
        </w:tc>
      </w:tr>
    </w:tbl>
    <w:p>
      <w:pPr>
        <w:spacing w:before="200"/>
      </w:pPr>
    </w:p>
    <w:p>
      <w:pPr>
        <w:spacing w:after="160" w:line="300"/>
      </w:pPr>
      <w:r>
        <w:rPr>
          <w:sz w:val="22"/>
          <w:szCs w:val="22"/>
        </w:rPr>
        <w:t xml:space="preserve">公司处于以黄磷为基础、向热法磷酸及磷酸盐延伸的中游磷化工环节，利润受周期价格和投入成本影响。进一步改善取决于提升磷酸、磷酸盐利用率，稳定矿石与能源成本，并验证精细产品溢价。</w:t>
      </w:r>
    </w:p>
    <w:p>
      <w:pPr>
        <w:pStyle w:val="Heading2"/>
        <w:spacing w:after="120" w:before="240"/>
      </w:pPr>
      <w:r>
        <w:rPr>
          <w:b/>
          <w:bCs/>
          <w:color w:val="2E74B5"/>
          <w:sz w:val="24"/>
          <w:szCs w:val="24"/>
        </w:rPr>
        <w:t xml:space="preserve">2.4 行业与同行对比</w:t>
      </w:r>
    </w:p>
    <w:p>
      <w:pPr>
        <w:spacing w:after="160" w:line="300"/>
      </w:pPr>
      <w:r>
        <w:rPr>
          <w:sz w:val="22"/>
          <w:szCs w:val="22"/>
        </w:rPr>
        <w:t xml:space="preserve">磷化工处于周期波动中，2025年澄星毛利率回升但扣非仍亏损；公司面对的关键变量是产品价格与原料能源成本差，以及低利用率产能能否转化为盈利。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300"/>
        <w:gridCol w:w="2600"/>
        <w:gridCol w:w="29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3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可比数据</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与本公司差异</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川金诺（300505）</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磷酸、磷酸盐产品与澄星有交集。</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2025年营收40.75亿元；全公司毛利率约18.0%；PE-TTM扣非13.24倍（9月18日）</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产品较接近，但业务结构不同；估值日期非9月30日。</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川恒股份（002895）</w:t>
            </w:r>
          </w:p>
        </w:tc>
        <w:tc>
          <w:tcPr>
            <w:tcW w:type="dxa" w:w="2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矿山资源及磷化工、饲料级产品。</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2025年营收83.28亿元；磷化工毛利率26.38%；PE-TTM约14.32倍（9月30日）</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矿山资源和饲料级产品占比更高。</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兴发集团（600141）</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磷矿资源、多元化磷化工链条。</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2025年营收293.00亿元；主要三类业务合计毛利率约18.0%；市盈率20.08倍（9月30日）</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规模显著更大，业务涵盖矿山、农药、新能源材料等。</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川发龙蟒（002312）</w:t>
            </w:r>
          </w:p>
        </w:tc>
        <w:tc>
          <w:tcPr>
            <w:tcW w:type="dxa" w:w="2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磷酸盐、肥料及新能源材料。</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2025年营收99.56亿元；毛利率—；PE-TTM扣非约40.10倍（9月18日）</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产品链更偏磷酸盐、肥料及新能源材料。</w:t>
            </w:r>
          </w:p>
        </w:tc>
      </w:tr>
    </w:tbl>
    <w:p>
      <w:pPr>
        <w:spacing w:before="200"/>
      </w:pPr>
    </w:p>
    <w:p>
      <w:pPr>
        <w:spacing w:after="160" w:line="300"/>
      </w:pPr>
      <w:r>
        <w:rPr>
          <w:sz w:val="22"/>
          <w:szCs w:val="22"/>
        </w:rPr>
        <w:t xml:space="preserve">澄星黄磷规模及矿电配套构成一定一体化基础，产品结构较川恒、兴发更集中于黄磷和热法磷酸；但自有矿覆盖率、精细产品溢价未量化，磷酸及磷酸盐利用率偏低。同行资源禀赋和业务组合差异较大，毛利率及估值不宜直接横比。</w:t>
      </w:r>
    </w:p>
    <w:p>
      <w:pPr>
        <w:pStyle w:val="Heading1"/>
        <w:pBdr>
          <w:bottom w:val="single" w:color="1F4E79" w:sz="6" w:space="4"/>
        </w:pBdr>
        <w:spacing w:after="160" w:before="360"/>
      </w:pPr>
      <w:r>
        <w:rPr>
          <w:b/>
          <w:bCs/>
          <w:color w:val="1F4E79"/>
          <w:sz w:val="30"/>
          <w:szCs w:val="30"/>
        </w:rPr>
        <w:t xml:space="preserve">三、财务质量</w:t>
      </w:r>
    </w:p>
    <w:p>
      <w:pPr>
        <w:pStyle w:val="Heading2"/>
        <w:spacing w:after="120" w:before="240"/>
      </w:pPr>
      <w:r>
        <w:rPr>
          <w:b/>
          <w:bCs/>
          <w:color w:val="2E74B5"/>
          <w:sz w:val="24"/>
          <w:szCs w:val="24"/>
        </w:rPr>
        <w:t xml:space="preserve">3.1 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600"/>
        <w:gridCol w:w="1100"/>
        <w:gridCol w:w="1600"/>
        <w:gridCol w:w="1100"/>
        <w:gridCol w:w="1400"/>
        <w:gridCol w:w="16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扣非同比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21.38亿元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20.37%</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1.1763亿元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533.75%</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453.64%（由亏转盈）</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19.09%</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35.96亿元</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7.16%</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0.0847亿元</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104.26%（亏损转盈）</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75.29%（亏损收窄）</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11.8%</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33.56亿元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8.22%</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-1.9890亿元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6.94%</w:t>
            </w:r>
          </w:p>
        </w:tc>
      </w:tr>
    </w:tbl>
    <w:p>
      <w:pPr>
        <w:spacing w:before="200"/>
      </w:pPr>
    </w:p>
    <w:p>
      <w:pPr>
        <w:spacing w:after="200"/>
      </w:pPr>
      <w:r>
        <w:rPr>
          <w:i/>
          <w:iCs/>
          <w:color w:val="595959"/>
          <w:sz w:val="18"/>
          <w:szCs w:val="18"/>
        </w:rPr>
        <w:t xml:space="preserve">截至2026-10-01；2026年上半年毛利率按收入、成本计算。</w:t>
      </w:r>
    </w:p>
    <w:p>
      <w:pPr>
        <w:spacing w:after="160" w:line="300"/>
      </w:pPr>
      <w:r>
        <w:rPr>
          <w:sz w:val="22"/>
          <w:szCs w:val="22"/>
        </w:rPr>
        <w:t xml:space="preserve">上半年盈利显著修复，主要受黄磷、磷酸价格上涨、磷酸销量增长及成本管控推动；扣非由亏转盈，报告列示同比453.64%受负基数影响。</w:t>
      </w:r>
    </w:p>
    <w:p>
      <w:pPr>
        <w:pStyle w:val="Heading2"/>
        <w:spacing w:after="120" w:before="240"/>
      </w:pPr>
      <w:r>
        <w:rPr>
          <w:b/>
          <w:bCs/>
          <w:color w:val="2E74B5"/>
          <w:sz w:val="24"/>
          <w:szCs w:val="24"/>
        </w:rPr>
        <w:t xml:space="preserve">3.2 财务健康检查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2000"/>
        <w:gridCol w:w="1100"/>
        <w:gridCol w:w="44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判断</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资产负债率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64.0%（2026年中）</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负债率偏高，流动负债高于流动资产。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流动比率/现金比率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0.85/0.28（2026年中）</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流动资产不足以覆盖流动负债。</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经营现金流/归母净利润</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1.92倍（2026年上半年）</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良好</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经营现金流对当期利润覆盖较强。</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加权平均ROE</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6.77%（2026年上半年）</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一般</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较上年同期1.11%改善，全年持续性待验证。</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应收账款坏账</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2,360.89万元（2025年末）</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存在预计无法收回并全额计提的款项。</w:t>
            </w:r>
          </w:p>
        </w:tc>
      </w:tr>
    </w:tbl>
    <w:p>
      <w:pPr>
        <w:spacing w:before="200"/>
      </w:pPr>
    </w:p>
    <w:p>
      <w:pPr>
        <w:pStyle w:val="Heading1"/>
        <w:pBdr>
          <w:bottom w:val="single" w:color="1F4E79" w:sz="6" w:space="4"/>
        </w:pBdr>
        <w:spacing w:after="160" w:before="360"/>
      </w:pPr>
      <w:r>
        <w:rPr>
          <w:b/>
          <w:bCs/>
          <w:color w:val="1F4E79"/>
          <w:sz w:val="30"/>
          <w:szCs w:val="30"/>
        </w:rPr>
        <w:t xml:space="preserve">四、估值与市场预期</w:t>
      </w:r>
    </w:p>
    <w:p>
      <w:pPr>
        <w:pStyle w:val="Heading2"/>
        <w:spacing w:after="120" w:before="240"/>
      </w:pPr>
      <w:r>
        <w:rPr>
          <w:b/>
          <w:bCs/>
          <w:color w:val="2E74B5"/>
          <w:sz w:val="24"/>
          <w:szCs w:val="24"/>
        </w:rPr>
        <w:t xml:space="preserve">4.1 估值水平</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2000"/>
        <w:gridCol w:w="2900"/>
        <w:gridCol w:w="28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自身历史</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同行对比</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61.87倍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近5.2年69%分位（中位数12.06倍）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约9.53—20.88倍，同行口径有差异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近5.2年56%分位（中位数3.26倍）</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约1.4—2.46倍</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PS(TTM)</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1.68倍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近5.2年57%分位（中位数1.58倍）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股息率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r>
    </w:tbl>
    <w:p>
      <w:pPr>
        <w:spacing w:before="200"/>
      </w:pPr>
    </w:p>
    <w:p>
      <w:pPr>
        <w:spacing w:after="200"/>
      </w:pPr>
      <w:r>
        <w:rPr>
          <w:i/>
          <w:iCs/>
          <w:color w:val="595959"/>
          <w:sz w:val="18"/>
          <w:szCs w:val="18"/>
        </w:rPr>
        <w:t xml:space="preserve">估值倍数由程序按2026-09-30收盘数据计算（滚动十二个月口径）</w:t>
      </w:r>
    </w:p>
    <w:p>
      <w:pPr>
        <w:spacing w:after="160" w:line="300"/>
      </w:pPr>
      <w:r>
        <w:rPr>
          <w:sz w:val="22"/>
          <w:szCs w:val="22"/>
        </w:rPr>
        <w:t xml:space="preserve">市场隐含预期：以当前61.87倍市盈率计，若投资者要求年化8%的回报、10年后按15倍市盈率估值，每股收益需年均增长约24.4%（不计分红，偏保守），可与下方一致预期增速对照。</w:t>
      </w:r>
    </w:p>
    <w:p>
      <w:pPr>
        <w:spacing w:after="160" w:line="300"/>
      </w:pPr>
      <w:r>
        <w:rPr>
          <w:sz w:val="22"/>
          <w:szCs w:val="22"/>
        </w:rPr>
        <w:t xml:space="preserve">PE-TTM 61.87倍，处近5.2年69%分位，显著高于12.06倍历史中位数；PB 3.7倍、56%分位，PS 1.68倍、57%分位，均略高于各自中位数。PE对应每股收益年均增长约24.4%的隐含要求，而机构一致预期缺失；当前估值对盈利持续修复已有较高要求。</w:t>
      </w:r>
    </w:p>
    <w:p>
      <w:pPr>
        <w:pStyle w:val="Heading2"/>
        <w:spacing w:after="120" w:before="240"/>
      </w:pPr>
      <w:r>
        <w:rPr>
          <w:b/>
          <w:bCs/>
          <w:color w:val="2E74B5"/>
          <w:sz w:val="24"/>
          <w:szCs w:val="24"/>
        </w:rPr>
        <w:t xml:space="preserve">4.3 机构观点</w:t>
      </w:r>
    </w:p>
    <w:p>
      <w:pPr>
        <w:spacing w:after="160" w:line="300"/>
      </w:pPr>
      <w:r>
        <w:rPr>
          <w:sz w:val="22"/>
          <w:szCs w:val="22"/>
        </w:rPr>
        <w:t xml:space="preserve">无可核实目标价；同花顺近60个交易日无评级，新浪页面称有报告但未显示机构、日期及评级。</w:t>
      </w:r>
    </w:p>
    <w:p>
      <w:pPr>
        <w:pStyle w:val="Heading1"/>
        <w:pBdr>
          <w:bottom w:val="single" w:color="1F4E79" w:sz="6" w:space="4"/>
        </w:pBdr>
        <w:spacing w:after="160" w:before="360"/>
      </w:pPr>
      <w:r>
        <w:rPr>
          <w:b/>
          <w:bCs/>
          <w:color w:val="1F4E79"/>
          <w:sz w:val="30"/>
          <w:szCs w:val="30"/>
        </w:rPr>
        <w:t xml:space="preserve">五、催化剂与近期事件</w:t>
      </w:r>
    </w:p>
    <w:p>
      <w:pPr>
        <w:pStyle w:val="Heading2"/>
        <w:spacing w:after="120" w:before="240"/>
      </w:pPr>
      <w:r>
        <w:rPr>
          <w:b/>
          <w:bCs/>
          <w:color w:val="2E74B5"/>
          <w:sz w:val="24"/>
          <w:szCs w:val="24"/>
        </w:rPr>
        <w:t xml:space="preserve">5.1 未来关键节点</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000"/>
        <w:gridCol w:w="4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时间</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事件</w:t>
            </w:r>
          </w:p>
        </w:tc>
        <w:tc>
          <w:tcPr>
            <w:tcW w:type="dxa" w:w="4700"/>
            <w:shd w:fill="1F4E79" w:val="clear"/>
            <w:tcMar>
              <w:top w:type="dxa" w:w="80"/>
              <w:left w:type="dxa" w:w="100"/>
              <w:bottom w:type="dxa" w:w="80"/>
              <w:right w:type="dxa" w:w="100"/>
            </w:tcMar>
            <w:vAlign w:val="center"/>
          </w:tcPr>
          <w:p>
            <w:pPr>
              <w:jc w:val="center"/>
            </w:pPr>
            <w:r>
              <w:rPr>
                <w:b/>
                <w:bCs/>
                <w:color w:val="FFFFFF"/>
                <w:sz w:val="20"/>
                <w:szCs w:val="20"/>
              </w:rPr>
              <w:t xml:space="preserve">看点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2026-10-28（三季报预约披露）</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三季报披露及经营延续性验证</w:t>
            </w:r>
          </w:p>
        </w:tc>
        <w:tc>
          <w:tcPr>
            <w:tcW w:type="dxa" w:w="4700"/>
            <w:tcMar>
              <w:top w:type="dxa" w:w="80"/>
              <w:left w:type="dxa" w:w="100"/>
              <w:bottom w:type="dxa" w:w="80"/>
              <w:right w:type="dxa" w:w="100"/>
            </w:tcMar>
            <w:vAlign w:val="center"/>
          </w:tcPr>
          <w:p>
            <w:pPr>
              <w:jc w:val="center"/>
            </w:pPr>
            <w:r>
              <w:rPr>
                <w:b w:val="false"/>
                <w:bCs w:val="false"/>
                <w:color w:val="000000"/>
                <w:sz w:val="20"/>
                <w:szCs w:val="20"/>
              </w:rPr>
              <w:t xml:space="preserve">关注盈利能否延续上半年增长、产品价格与原料成本变化，以及徐州宏达纳入合并报表后的影响；实际贡献尚无公开量化预期。</w:t>
            </w:r>
          </w:p>
        </w:tc>
      </w:tr>
    </w:tbl>
    <w:p>
      <w:pPr>
        <w:spacing w:before="200"/>
      </w:pPr>
    </w:p>
    <w:p>
      <w:pPr>
        <w:pStyle w:val="Heading2"/>
        <w:spacing w:after="120" w:before="240"/>
      </w:pPr>
      <w:r>
        <w:rPr>
          <w:b/>
          <w:bCs/>
          <w:color w:val="2E74B5"/>
          <w:sz w:val="24"/>
          <w:szCs w:val="24"/>
        </w:rPr>
        <w:t xml:space="preserve">5.2 近期重要事件</w:t>
      </w:r>
    </w:p>
    <w:p>
      <w:pPr>
        <w:pStyle w:val="ListParagraph"/>
        <w:numPr>
          <w:ilvl w:val="0"/>
          <w:numId w:val="2"/>
        </w:numPr>
        <w:spacing w:after="80" w:line="280"/>
      </w:pPr>
      <w:r>
        <w:rPr>
          <w:b/>
          <w:bCs/>
          <w:sz w:val="22"/>
          <w:szCs w:val="22"/>
        </w:rPr>
        <w:t xml:space="preserve">2026-08-18 半年报净利同比增长533.75%（利好）</w:t>
      </w:r>
      <w:r>
        <w:rPr>
          <w:sz w:val="22"/>
          <w:szCs w:val="22"/>
        </w:rPr>
        <w:t xml:space="preserve">：上半年营收21.38亿元、归母净利润1.176亿元，同比分别增长20.37%、533.75%；黄磷、磷酸均价同比上涨，磷矿成本上升，报告及经营数据未经审计。</w:t>
      </w:r>
    </w:p>
    <w:p>
      <w:pPr>
        <w:pStyle w:val="ListParagraph"/>
        <w:numPr>
          <w:ilvl w:val="0"/>
          <w:numId w:val="2"/>
        </w:numPr>
        <w:spacing w:after="80" w:line="280"/>
      </w:pPr>
      <w:r>
        <w:rPr>
          <w:b/>
          <w:bCs/>
          <w:sz w:val="22"/>
          <w:szCs w:val="22"/>
        </w:rPr>
        <w:t xml:space="preserve">2026-09-30 徐州宏达完成工商变更（中性）</w:t>
      </w:r>
      <w:r>
        <w:rPr>
          <w:sz w:val="22"/>
          <w:szCs w:val="22"/>
        </w:rPr>
        <w:t xml:space="preserve">：公司此前投资9,514万元取得徐州宏达45%股权，工商变更完成后其将纳入合并报表；目前未披露可量化的投产、订单或盈利贡献。</w:t>
      </w:r>
    </w:p>
    <w:p>
      <w:pPr>
        <w:pStyle w:val="ListParagraph"/>
        <w:numPr>
          <w:ilvl w:val="0"/>
          <w:numId w:val="2"/>
        </w:numPr>
        <w:spacing w:after="80" w:line="280"/>
      </w:pPr>
      <w:r>
        <w:rPr>
          <w:b/>
          <w:bCs/>
          <w:sz w:val="22"/>
          <w:szCs w:val="22"/>
        </w:rPr>
        <w:t xml:space="preserve">2026-09-22 搬迁补偿应收款质押并新增担保（中性）</w:t>
      </w:r>
      <w:r>
        <w:rPr>
          <w:sz w:val="22"/>
          <w:szCs w:val="22"/>
        </w:rPr>
        <w:t xml:space="preserve">：公司以4.0193亿元搬迁补偿应收账款支持合计1.5亿元授信；另为子公司8,000万元授信提供担保，承担本金余额最高额4,400万元。补偿款仍待搬迁验收等手续完成后支付。</w:t>
      </w:r>
    </w:p>
    <w:p>
      <w:pPr>
        <w:pStyle w:val="Heading1"/>
        <w:pBdr>
          <w:bottom w:val="single" w:color="1F4E79" w:sz="6" w:space="4"/>
        </w:pBdr>
        <w:spacing w:after="160" w:before="360"/>
      </w:pPr>
      <w:r>
        <w:rPr>
          <w:b/>
          <w:bCs/>
          <w:color w:val="1F4E79"/>
          <w:sz w:val="30"/>
          <w:szCs w:val="30"/>
        </w:rPr>
        <w:t xml:space="preserve">六、多空分歧与风险</w:t>
      </w:r>
    </w:p>
    <w:p>
      <w:pPr>
        <w:pStyle w:val="Heading2"/>
        <w:spacing w:after="120" w:before="240"/>
      </w:pPr>
      <w:r>
        <w:rPr>
          <w:b/>
          <w:bCs/>
          <w:color w:val="2E74B5"/>
          <w:sz w:val="24"/>
          <w:szCs w:val="24"/>
        </w:rPr>
        <w:t xml:space="preserve">6.1 看多理由</w:t>
      </w:r>
    </w:p>
    <w:p>
      <w:pPr>
        <w:pStyle w:val="ListParagraph"/>
        <w:numPr>
          <w:ilvl w:val="0"/>
          <w:numId w:val="2"/>
        </w:numPr>
        <w:spacing w:after="80" w:line="280"/>
      </w:pPr>
      <w:r>
        <w:rPr>
          <w:sz w:val="22"/>
          <w:szCs w:val="22"/>
        </w:rPr>
        <w:t xml:space="preserve">2026年上半年归母净利1.1763亿元、同比增533.75%，扣非扭亏，经营现金流为净利润1.92倍。</w:t>
      </w:r>
    </w:p>
    <w:p>
      <w:pPr>
        <w:pStyle w:val="ListParagraph"/>
        <w:numPr>
          <w:ilvl w:val="0"/>
          <w:numId w:val="2"/>
        </w:numPr>
        <w:spacing w:after="80" w:line="280"/>
      </w:pPr>
      <w:r>
        <w:rPr>
          <w:sz w:val="22"/>
          <w:szCs w:val="22"/>
        </w:rPr>
        <w:t xml:space="preserve">黄磷产能利用率已达94.75%；若产品价格与成本差延续改善，19.09%的上半年毛利率有望支撑盈利修复。</w:t>
      </w:r>
    </w:p>
    <w:p>
      <w:pPr>
        <w:pStyle w:val="Heading2"/>
        <w:spacing w:after="120" w:before="240"/>
      </w:pPr>
      <w:r>
        <w:rPr>
          <w:b/>
          <w:bCs/>
          <w:color w:val="2E74B5"/>
          <w:sz w:val="24"/>
          <w:szCs w:val="24"/>
        </w:rPr>
        <w:t xml:space="preserve">6.2 看空理由</w:t>
      </w:r>
    </w:p>
    <w:p>
      <w:pPr>
        <w:pStyle w:val="ListParagraph"/>
        <w:numPr>
          <w:ilvl w:val="0"/>
          <w:numId w:val="2"/>
        </w:numPr>
        <w:spacing w:after="80" w:line="280"/>
      </w:pPr>
      <w:r>
        <w:rPr>
          <w:sz w:val="22"/>
          <w:szCs w:val="22"/>
        </w:rPr>
        <w:t xml:space="preserve">PE-TTM 61.87倍处近5.2年69%分位，隐含每股收益年均增长约24.4%，高于当前已披露的收入增速20.37%。</w:t>
      </w:r>
    </w:p>
    <w:p>
      <w:pPr>
        <w:pStyle w:val="ListParagraph"/>
        <w:numPr>
          <w:ilvl w:val="0"/>
          <w:numId w:val="2"/>
        </w:numPr>
        <w:spacing w:after="80" w:line="280"/>
      </w:pPr>
      <w:r>
        <w:rPr>
          <w:sz w:val="22"/>
          <w:szCs w:val="22"/>
        </w:rPr>
        <w:t xml:space="preserve">磷酸、磷酸盐利用率分别仅46.42%、14.53%；磷酸盐2025年收入同比降29.72%，低效产能尚未形成盈利贡献。</w:t>
      </w:r>
    </w:p>
    <w:p>
      <w:pPr>
        <w:pStyle w:val="Heading2"/>
        <w:spacing w:after="120" w:before="240"/>
      </w:pPr>
      <w:r>
        <w:rPr>
          <w:b/>
          <w:bCs/>
          <w:color w:val="2E74B5"/>
          <w:sz w:val="24"/>
          <w:szCs w:val="24"/>
        </w:rPr>
        <w:t xml:space="preserve">6.3 其他风险</w:t>
      </w:r>
    </w:p>
    <w:p>
      <w:pPr>
        <w:pStyle w:val="ListParagraph"/>
        <w:numPr>
          <w:ilvl w:val="0"/>
          <w:numId w:val="2"/>
        </w:numPr>
        <w:spacing w:after="80" w:line="280"/>
      </w:pPr>
      <w:r>
        <w:rPr>
          <w:sz w:val="22"/>
          <w:szCs w:val="22"/>
        </w:rPr>
        <w:t xml:space="preserve">2026年中资产负债率64%、流动比率0.85、现金比率0.28→短期偿债压力可能抬升财务费用并限制经营弹性。</w:t>
      </w:r>
    </w:p>
    <w:p>
      <w:pPr>
        <w:pStyle w:val="ListParagraph"/>
        <w:numPr>
          <w:ilvl w:val="0"/>
          <w:numId w:val="2"/>
        </w:numPr>
        <w:spacing w:after="80" w:line="280"/>
      </w:pPr>
      <w:r>
        <w:rPr>
          <w:sz w:val="22"/>
          <w:szCs w:val="22"/>
        </w:rPr>
        <w:t xml:space="preserve">4.0193亿元搬迁补偿应收款仍待验收等手续后支付，且用于支持1.5亿元授信→回款延迟可能加大资金占用、压低现金流。</w:t>
      </w:r>
    </w:p>
    <w:p>
      <w:pPr>
        <w:pStyle w:val="ListParagraph"/>
        <w:numPr>
          <w:ilvl w:val="0"/>
          <w:numId w:val="2"/>
        </w:numPr>
        <w:spacing w:after="80" w:line="280"/>
      </w:pPr>
      <w:r>
        <w:rPr>
          <w:sz w:val="22"/>
          <w:szCs w:val="22"/>
        </w:rPr>
        <w:t xml:space="preserve">2025年末应收账款坏账2,360.89万元且已全额计提→若回款质量继续恶化，新增减值将侵蚀利润。</w:t>
      </w:r>
    </w:p>
    <w:p>
      <w:pPr>
        <w:pStyle w:val="Heading1"/>
        <w:pBdr>
          <w:bottom w:val="single" w:color="1F4E79" w:sz="6" w:space="4"/>
        </w:pBdr>
        <w:spacing w:after="160" w:before="360"/>
      </w:pPr>
      <w:r>
        <w:rPr>
          <w:b/>
          <w:bCs/>
          <w:color w:val="1F4E79"/>
          <w:sz w:val="30"/>
          <w:szCs w:val="30"/>
        </w:rPr>
        <w:t xml:space="preserve">七、跟踪清单</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200"/>
        <w:gridCol w:w="2800"/>
        <w:gridCol w:w="28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跟踪指标</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验证看多</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验证看空</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三季报盈利延续性</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预约2026年10月28日披露</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单季盈利延续且毛利率维持19%左右</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单季利润明显回落或毛利率降至15%以下</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磷酸及磷酸盐利用率</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分别为46.42%、14.53%</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两类利用率持续提升并带动分部盈利转正</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利用率停滞或下降，低效产能继续拖累利润</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经营现金流与短期偿债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上半年现金流/净利润1.92倍；流动比率0.85</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经营现金流持续覆盖利润，流动比率回升至1以上</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现金流转弱且流动比率进一步下滑</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搬迁补偿及徐州宏达贡献</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补偿款待验收支付；徐州宏达45%股权纳入合并</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补偿款到账，或披露可量化的投产与盈利贡献</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回款持续延迟，合并后未形成可见利润贡献</w:t>
            </w:r>
          </w:p>
        </w:tc>
      </w:tr>
    </w:tbl>
    <w:p>
      <w:pPr>
        <w:spacing w:before="200"/>
      </w:pPr>
    </w:p>
    <w:p>
      <w:pPr>
        <w:pStyle w:val="Heading1"/>
        <w:pBdr>
          <w:bottom w:val="single" w:color="1F4E79" w:sz="6" w:space="4"/>
        </w:pBdr>
        <w:spacing w:after="160" w:before="360"/>
      </w:pPr>
      <w:r>
        <w:rPr>
          <w:b/>
          <w:bCs/>
          <w:color w:val="1F4E79"/>
          <w:sz w:val="30"/>
          <w:szCs w:val="30"/>
        </w:rPr>
        <w:t xml:space="preserve">八、股价与短线展望（未来一周，情景推演，仅供参考）</w:t>
      </w:r>
    </w:p>
    <w:p>
      <w:pPr>
        <w:spacing w:after="160"/>
      </w:pPr>
      <w:r>
        <w:rPr>
          <w:b/>
          <w:bCs/>
          <w:color w:val="9C5700"/>
          <w:sz w:val="20"/>
          <w:szCs w:val="20"/>
        </w:rPr>
        <w:t xml:space="preserve">**⚠️风险提示：以下为主观启发式情景权重，非统计概率，不构成投资建议。**</w:t>
      </w:r>
    </w:p>
    <w:p>
      <w:pPr>
        <w:pStyle w:val="Heading2"/>
        <w:spacing w:after="120" w:before="240"/>
      </w:pPr>
      <w:r>
        <w:rPr>
          <w:b/>
          <w:bCs/>
          <w:color w:val="2E74B5"/>
          <w:sz w:val="24"/>
          <w:szCs w:val="24"/>
        </w:rPr>
        <w:t xml:space="preserve">8.1 技术面概况</w:t>
      </w:r>
    </w:p>
    <w:p>
      <w:pPr>
        <w:spacing w:after="160" w:line="300"/>
      </w:pPr>
      <w:r>
        <w:rPr>
          <w:sz w:val="22"/>
          <w:szCs w:val="22"/>
        </w:rPr>
        <w:t xml:space="preserve">股价低于短中期均线，MACD仍为负，技术面偏弱；RSI6处低位但未确认反转。9月30日对外投资进展公告正文未核实，暂不纳入催化判断。</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3000"/>
        <w:gridCol w:w="45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4500"/>
            <w:shd w:fill="1F4E79" w:val="clear"/>
            <w:tcMar>
              <w:top w:type="dxa" w:w="80"/>
              <w:left w:type="dxa" w:w="100"/>
              <w:bottom w:type="dxa" w:w="80"/>
              <w:right w:type="dxa" w:w="100"/>
            </w:tcMar>
            <w:vAlign w:val="center"/>
          </w:tcPr>
          <w:p>
            <w:pPr>
              <w:jc w:val="center"/>
            </w:pPr>
            <w:r>
              <w:rPr>
                <w:b/>
                <w:bCs/>
                <w:color w:val="FFFFFF"/>
                <w:sz w:val="20"/>
                <w:szCs w:val="20"/>
              </w:rPr>
              <w:t xml:space="preserve">解读</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近5/20日涨跌幅</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-5.04%/-12.35%</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近期回落明显，短线偏弱。</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MA5/10/20/60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 9.85</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股价低于各均线，均线构成上方压力。</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布林带上/中/下轨</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上轨 11.37 / 中轨 10.4 / 下轨 9.44</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接近下轨，反弹仍需收复中轨。</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 DIF/DEA/柱</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-0.273 / DEA -0.202 / 柱 -0.142</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柱值较前日收窄但仍为负，未确认反转。</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RSI6/RSI14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RSI6 29.3 / RSI14 36.7</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短周期处相对低位，暂不足以确认止跌。</w:t>
            </w:r>
          </w:p>
        </w:tc>
      </w:tr>
    </w:tbl>
    <w:p>
      <w:pPr>
        <w:spacing w:before="200"/>
      </w:pPr>
    </w:p>
    <w:p>
      <w:pPr>
        <w:pStyle w:val="Heading2"/>
        <w:spacing w:after="120" w:before="240"/>
      </w:pPr>
      <w:r>
        <w:rPr>
          <w:b/>
          <w:bCs/>
          <w:color w:val="2E74B5"/>
          <w:sz w:val="24"/>
          <w:szCs w:val="24"/>
        </w:rPr>
        <w:t xml:space="preserve">8.2 关键价位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5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10.05~10.40元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对应MA10及MA20/60；有效站稳后才有条件观察更高压力区。</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9.55~9.80元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对应近期低点9.56元及收盘附近；失守则关注布林下轨一带。</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9.40~9.56元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对应布林下轨9.44元及近期低点；跌破后下方支撑需另看长周期结构。</w:t>
            </w:r>
          </w:p>
        </w:tc>
      </w:tr>
    </w:tbl>
    <w:p>
      <w:pPr>
        <w:spacing w:before="200"/>
      </w:pPr>
    </w:p>
    <w:p>
      <w:pPr>
        <w:pStyle w:val="Heading2"/>
        <w:spacing w:after="120" w:before="240"/>
      </w:pPr>
      <w:r>
        <w:rPr>
          <w:b/>
          <w:bCs/>
          <w:color w:val="2E74B5"/>
          <w:sz w:val="24"/>
          <w:szCs w:val="24"/>
        </w:rPr>
        <w:t xml:space="preserve">8.3 按历史波动率测算的一周区间</w:t>
      </w:r>
    </w:p>
    <w:p>
      <w:pPr>
        <w:spacing w:after="160" w:line="300"/>
      </w:pPr>
      <w:r>
        <w:rPr>
          <w:sz w:val="22"/>
          <w:szCs w:val="22"/>
        </w:rPr>
        <w:t xml:space="preserve">以2026-09-30价格9.79元为基准，用近300个交易日的收益分布（按当前指数加权日波动率约2.5%缩放，保留这只股票自身的大涨大跌频率）推算未来5个交易日的收盘价范围：</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700"/>
        <w:gridCol w:w="40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覆盖概率</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价格区间</w:t>
            </w:r>
          </w:p>
        </w:tc>
        <w:tc>
          <w:tcPr>
            <w:tcW w:type="dxa" w:w="4000"/>
            <w:shd w:fill="1F4E79" w:val="clear"/>
            <w:tcMar>
              <w:top w:type="dxa" w:w="80"/>
              <w:left w:type="dxa" w:w="100"/>
              <w:bottom w:type="dxa" w:w="80"/>
              <w:right w:type="dxa" w:w="100"/>
            </w:tcMar>
            <w:vAlign w:val="center"/>
          </w:tcPr>
          <w:p>
            <w:pPr>
              <w:jc w:val="center"/>
            </w:pPr>
            <w:r>
              <w:rPr>
                <w:b/>
                <w:bCs/>
                <w:color w:val="FFFFFF"/>
                <w:sz w:val="20"/>
                <w:szCs w:val="20"/>
              </w:rPr>
              <w:t xml:space="preserve">相对基准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约68%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9.31～10.43元</w:t>
            </w:r>
          </w:p>
        </w:tc>
        <w:tc>
          <w:tcPr>
            <w:tcW w:type="dxa" w:w="4000"/>
            <w:tcMar>
              <w:top w:type="dxa" w:w="80"/>
              <w:left w:type="dxa" w:w="100"/>
              <w:bottom w:type="dxa" w:w="80"/>
              <w:right w:type="dxa" w:w="100"/>
            </w:tcMar>
            <w:vAlign w:val="center"/>
          </w:tcPr>
          <w:p>
            <w:pPr>
              <w:jc w:val="center"/>
            </w:pPr>
            <w:r>
              <w:rPr>
                <w:b w:val="false"/>
                <w:bCs w:val="false"/>
                <w:color w:val="000000"/>
                <w:sz w:val="20"/>
                <w:szCs w:val="20"/>
              </w:rPr>
              <w:t xml:space="preserve">-4.9%～+6.5%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约95%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8.9～11.57元</w:t>
            </w:r>
          </w:p>
        </w:tc>
        <w:tc>
          <w:tcPr>
            <w:tcW w:type="dxa" w:w="4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-9.1%～+18.2%</w:t>
            </w:r>
          </w:p>
        </w:tc>
      </w:tr>
    </w:tbl>
    <w:p>
      <w:pPr>
        <w:spacing w:before="200"/>
      </w:pPr>
    </w:p>
    <w:p>
      <w:pPr>
        <w:spacing w:after="200"/>
      </w:pPr>
      <w:r>
        <w:rPr>
          <w:i/>
          <w:iCs/>
          <w:color w:val="595959"/>
          <w:sz w:val="18"/>
          <w:szCs w:val="18"/>
        </w:rPr>
        <w:t xml:space="preserve">该区间只反映这只股票近期的波动幅度，不含涨跌方向判断；遇到重大公告或大盘急跌，实际走势仍可能超出区间。</w:t>
      </w:r>
    </w:p>
    <w:p>
      <w:pPr>
        <w:pStyle w:val="Heading2"/>
        <w:spacing w:after="120" w:before="240"/>
      </w:pPr>
      <w:r>
        <w:rPr>
          <w:b/>
          <w:bCs/>
          <w:color w:val="2E74B5"/>
          <w:sz w:val="24"/>
          <w:szCs w:val="24"/>
        </w:rPr>
        <w:t xml:space="preserve">8.4 未来一周情景（主观权重，非统计概率）</w:t>
      </w:r>
    </w:p>
    <w:p>
      <w:pPr>
        <w:pStyle w:val="ListParagraph"/>
        <w:numPr>
          <w:ilvl w:val="0"/>
          <w:numId w:val="2"/>
        </w:numPr>
        <w:spacing w:after="80" w:line="280"/>
      </w:pPr>
      <w:r>
        <w:rPr>
          <w:b/>
          <w:bCs/>
          <w:sz w:val="22"/>
          <w:szCs w:val="22"/>
        </w:rPr>
        <w:t xml:space="preserve">震荡整理（相对权重较高，约五成）</w:t>
      </w:r>
      <w:r>
        <w:rPr>
          <w:sz w:val="22"/>
          <w:szCs w:val="22"/>
        </w:rPr>
        <w:t xml:space="preserve">：守住9.55~9.80元且未放量下跌、市场及板块未明显转弱，关注9.44~10.40元区间。</w:t>
      </w:r>
    </w:p>
    <w:p>
      <w:pPr>
        <w:pStyle w:val="ListParagraph"/>
        <w:numPr>
          <w:ilvl w:val="0"/>
          <w:numId w:val="2"/>
        </w:numPr>
        <w:spacing w:after="80" w:line="280"/>
      </w:pPr>
      <w:r>
        <w:rPr>
          <w:b/>
          <w:bCs/>
          <w:sz w:val="22"/>
          <w:szCs w:val="22"/>
        </w:rPr>
        <w:t xml:space="preserve">偏弱下行（权重中等，约三成）</w:t>
      </w:r>
      <w:r>
        <w:rPr>
          <w:sz w:val="22"/>
          <w:szCs w:val="22"/>
        </w:rPr>
        <w:t xml:space="preserve">：放量跌破9.40~9.56元且资金流出延续，可能向9.00~9.40元区间寻找承接。</w:t>
      </w:r>
    </w:p>
    <w:p>
      <w:pPr>
        <w:pStyle w:val="ListParagraph"/>
        <w:numPr>
          <w:ilvl w:val="0"/>
          <w:numId w:val="2"/>
        </w:numPr>
        <w:spacing w:after="80" w:line="280"/>
      </w:pPr>
      <w:r>
        <w:rPr>
          <w:b/>
          <w:bCs/>
          <w:sz w:val="22"/>
          <w:szCs w:val="22"/>
        </w:rPr>
        <w:t xml:space="preserve">反弹走强（权重偏低，约两成）</w:t>
      </w:r>
      <w:r>
        <w:rPr>
          <w:sz w:val="22"/>
          <w:szCs w:val="22"/>
        </w:rPr>
        <w:t xml:space="preserve">：守住9.55~9.80元后放量收复10.05~10.40元，且大盘或磷化工板块企稳，可观察10.40~11.37元。</w:t>
      </w:r>
    </w:p>
    <w:p>
      <w:pPr>
        <w:pStyle w:val="Heading2"/>
        <w:spacing w:after="120" w:before="240"/>
      </w:pPr>
      <w:r>
        <w:rPr>
          <w:b/>
          <w:bCs/>
          <w:color w:val="2E74B5"/>
          <w:sz w:val="24"/>
          <w:szCs w:val="24"/>
        </w:rPr>
        <w:t xml:space="preserve">8.5 资金与流动性</w:t>
      </w:r>
    </w:p>
    <w:p>
      <w:pPr>
        <w:spacing w:after="160" w:line="300"/>
      </w:pPr>
      <w:r>
        <w:rPr>
          <w:sz w:val="22"/>
          <w:szCs w:val="22"/>
        </w:rPr>
        <w:t xml:space="preserve">截至2026年9月30日，换手率0.73%、成交额4751.3万元；近段日成交额估算约0.47亿~3.6亿元。2026年6月30日半年报显示前十大股东合计约44.51%，前两大合计40.92%；其中可见公募基金及境外机构/托管名义账户，但单户占比较低，结构可能已变化。低量时交易深度可能减弱，较大委托单或扩大价格冲击与滑点。</w:t>
      </w:r>
    </w:p>
    <w:p>
      <w:pPr>
        <w:spacing w:after="160" w:line="300"/>
      </w:pPr>
      <w:r>
        <w:rPr>
          <w:sz w:val="22"/>
          <w:szCs w:val="22"/>
        </w:rPr>
        <w:t xml:space="preserve">若日成交额连续两个交易日达到约2亿元以上，且收复10.05~10.40元，可视为资金参与度改善信号。</w:t>
      </w:r>
    </w:p>
    <w:p>
      <w:pPr>
        <w:spacing w:after="200"/>
      </w:pPr>
      <w:r>
        <w:rPr>
          <w:i/>
          <w:iCs/>
          <w:color w:val="595959"/>
          <w:sz w:val="18"/>
          <w:szCs w:val="18"/>
        </w:rPr>
        <w:t xml:space="preserve">以上情景推演基于2026年9月30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上市公司按地区查询结果 | 上海证券交易所 — https://www.sse.com.cn/assortment/stock/areatrade/area/detail.shtml?eqid=e272d792000000ef00000004642e7fd7</w:t>
      </w:r>
    </w:p>
    <w:p>
      <w:pPr>
        <w:spacing w:after="200"/>
      </w:pPr>
      <w:r>
        <w:rPr>
          <w:i/>
          <w:iCs/>
          <w:color w:val="595959"/>
          <w:sz w:val="18"/>
          <w:szCs w:val="18"/>
        </w:rPr>
        <w:t xml:space="preserve">江苏澄星磷化工股份有限公司2025年年度报告 — https://static.cninfo.com.cn/finalpage/2026-04-18/1225122678.PDF</w:t>
      </w:r>
    </w:p>
    <w:p>
      <w:pPr>
        <w:spacing w:after="200"/>
      </w:pPr>
      <w:r>
        <w:rPr>
          <w:i/>
          <w:iCs/>
          <w:color w:val="595959"/>
          <w:sz w:val="18"/>
          <w:szCs w:val="18"/>
        </w:rPr>
        <w:t xml:space="preserve">澄星股份(600078)_公司公告_澄星股份：2025年年度报告新浪财经_新浪网 — https://money.finance.sina.com.cn/corp/view/vCB_AllBulletinDetail.php?id=12113382&amp;stockid=600078</w:t>
      </w:r>
    </w:p>
    <w:p>
      <w:pPr>
        <w:spacing w:after="200"/>
      </w:pPr>
      <w:r>
        <w:rPr>
          <w:i/>
          <w:iCs/>
          <w:color w:val="595959"/>
          <w:sz w:val="18"/>
          <w:szCs w:val="18"/>
        </w:rPr>
        <w:t xml:space="preserve">澄星股份(600078)_公司公告_澄星股份：2024年年度报告新浪财经_新浪网 — https://money.finance.sina.com.cn/corp/view/vCB_AllBulletinDetail.php?id=10830824&amp;stockid=600078</w:t>
      </w:r>
    </w:p>
    <w:p>
      <w:pPr>
        <w:spacing w:after="200"/>
      </w:pPr>
      <w:r>
        <w:rPr>
          <w:i/>
          <w:iCs/>
          <w:color w:val="595959"/>
          <w:sz w:val="18"/>
          <w:szCs w:val="18"/>
        </w:rPr>
        <w:t xml:space="preserve">川金诺(300505)_公司公告_川金诺：2025年年度报告新浪财经_新浪网 — https://money.finance.sina.com.cn/corp/view/vCB_AllBulletinDetail.php?id=12004694&amp;stockid=300505</w:t>
      </w:r>
    </w:p>
    <w:p>
      <w:pPr>
        <w:spacing w:after="200"/>
      </w:pPr>
      <w:r>
        <w:rPr>
          <w:i/>
          <w:iCs/>
          <w:color w:val="595959"/>
          <w:sz w:val="18"/>
          <w:szCs w:val="18"/>
        </w:rPr>
        <w:t xml:space="preserve">川恒股份(002895)_公司公告_川恒股份：2025年年度报告新浪财经_新浪网 — https://money.finance.sina.com.cn/corp/view/vCB_AllBulletinDetail.php?id=12073441&amp;stockid=002895</w:t>
      </w:r>
    </w:p>
    <w:p>
      <w:pPr>
        <w:spacing w:after="200"/>
      </w:pPr>
      <w:r>
        <w:rPr>
          <w:i/>
          <w:iCs/>
          <w:color w:val="595959"/>
          <w:sz w:val="18"/>
          <w:szCs w:val="18"/>
        </w:rPr>
        <w:t xml:space="preserve">兴发集团(600141)_公司公告_兴发集团：2025年年度报告新浪财经_新浪网 — https://money.finance.sina.com.cn/corp/view/vCB_AllBulletinDetail.php?id=12063215&amp;stockid=600141</w:t>
      </w:r>
    </w:p>
    <w:p>
      <w:pPr>
        <w:spacing w:after="200"/>
      </w:pPr>
      <w:r>
        <w:rPr>
          <w:i/>
          <w:iCs/>
          <w:color w:val="595959"/>
          <w:sz w:val="18"/>
          <w:szCs w:val="18"/>
        </w:rPr>
        <w:t xml:space="preserve">川发龙蟒(002312)_公司公告_川发龙蟒：2025年年度报告新浪财经_新浪网 — https://money.finance.sina.com.cn/corp/view/vCB_AllBulletinDetail.php?id=12223832&amp;stockid=002312</w:t>
      </w:r>
    </w:p>
    <w:p>
      <w:pPr>
        <w:spacing w:after="200"/>
      </w:pPr>
      <w:r>
        <w:rPr>
          <w:i/>
          <w:iCs/>
          <w:color w:val="595959"/>
          <w:sz w:val="18"/>
          <w:szCs w:val="18"/>
        </w:rPr>
        <w:t xml:space="preserve">澄星股份(600078)_公司公告_澄星股份：2026年半年度报告新浪财经_新浪网 — https://vip.stock.finance.sina.com.cn/corp/view/vCB_AllBulletinDetail.php?id=12500029&amp;stockid=600078</w:t>
      </w:r>
    </w:p>
    <w:p>
      <w:pPr>
        <w:spacing w:after="200"/>
      </w:pPr>
      <w:r>
        <w:rPr>
          <w:i/>
          <w:iCs/>
          <w:color w:val="595959"/>
          <w:sz w:val="18"/>
          <w:szCs w:val="18"/>
        </w:rPr>
        <w:t xml:space="preserve">澄星股份(600078)_公司公告_澄星股份：2026年半年度业绩预告新浪财经_新浪网 — https://money.finance.sina.com.cn/corp/view/vCB_AllBulletinDetail.php?id=12442297&amp;stockid=600078</w:t>
      </w:r>
    </w:p>
    <w:p>
      <w:pPr>
        <w:spacing w:after="200"/>
      </w:pPr>
      <w:r>
        <w:rPr>
          <w:i/>
          <w:iCs/>
          <w:color w:val="595959"/>
          <w:sz w:val="18"/>
          <w:szCs w:val="18"/>
        </w:rPr>
        <w:t xml:space="preserve">澄星股份(600078)_公司公告_澄星股份：关于2025年度拟不进行利润分配的公告新浪财经_新浪网 — https://money.finance.sina.com.cn/corp/view/vCB_AllBulletinDetail.php?id=12113367&amp;stockid=600078</w:t>
      </w:r>
    </w:p>
    <w:p>
      <w:pPr>
        <w:spacing w:after="200"/>
      </w:pPr>
      <w:r>
        <w:rPr>
          <w:i/>
          <w:iCs/>
          <w:color w:val="595959"/>
          <w:sz w:val="18"/>
          <w:szCs w:val="18"/>
        </w:rPr>
        <w:t xml:space="preserve">云天化(600096)_股票行情，行情首页_中财网 — https://quotedx.cfi.cn/quote937_600096.html</w:t>
      </w:r>
    </w:p>
    <w:p>
      <w:pPr>
        <w:spacing w:after="200"/>
      </w:pPr>
      <w:r>
        <w:rPr>
          <w:i/>
          <w:iCs/>
          <w:color w:val="595959"/>
          <w:sz w:val="18"/>
          <w:szCs w:val="18"/>
        </w:rPr>
        <w:t xml:space="preserve">澄星股份(600078) 盈利预测_F10_同花顺金融服务网 — https://basic.10jqka.com.cn/600078/worth.html</w:t>
      </w:r>
    </w:p>
    <w:p>
      <w:pPr>
        <w:spacing w:after="200"/>
      </w:pPr>
      <w:r>
        <w:rPr>
          <w:i/>
          <w:iCs/>
          <w:color w:val="595959"/>
          <w:sz w:val="18"/>
          <w:szCs w:val="18"/>
        </w:rPr>
        <w:t xml:space="preserve">澄星股份(600078)股票股价,行情,新闻,财报数据_新浪财经_新浪网 — https://finance.sina.com.cn/realstock/company/sh600078/nc.shtml</w:t>
      </w:r>
    </w:p>
    <w:p>
      <w:pPr>
        <w:spacing w:after="200"/>
      </w:pPr>
      <w:r>
        <w:rPr>
          <w:i/>
          <w:iCs/>
          <w:color w:val="595959"/>
          <w:sz w:val="18"/>
          <w:szCs w:val="18"/>
        </w:rPr>
        <w:t xml:space="preserve">澄星股份(600078)市盈率|估值|基本面 - 理杏仁 — https://www.lixinger.com/equity/company/detail/sh/600078/600078/fundamental/valuation/pe-ttm</w:t>
      </w:r>
    </w:p>
    <w:p>
      <w:pPr>
        <w:spacing w:after="200"/>
      </w:pPr>
      <w:r>
        <w:rPr>
          <w:i/>
          <w:iCs/>
          <w:color w:val="595959"/>
          <w:sz w:val="18"/>
          <w:szCs w:val="18"/>
        </w:rPr>
        <w:t xml:space="preserve">证券代码：600078　　证券简称：澄星股份　　公告编号：临 2026-029 — https://static.cninfo.com.cn/finalpage/2026-07-14/1225420924.PDF</w:t>
      </w:r>
    </w:p>
    <w:p>
      <w:pPr>
        <w:spacing w:after="200"/>
      </w:pPr>
      <w:r>
        <w:rPr>
          <w:i/>
          <w:iCs/>
          <w:color w:val="595959"/>
          <w:sz w:val="18"/>
          <w:szCs w:val="18"/>
        </w:rPr>
        <w:t xml:space="preserve">澄星股份(600078)_公司公告_澄星股份：2026年半年度主要经营数据公告新浪财经_新浪网 — https://vip.stock.finance.sina.com.cn/corp/view/vCB_AllBulletinDetail.php?id=12500035&amp;stockid=600078</w:t>
      </w:r>
    </w:p>
    <w:p>
      <w:pPr>
        <w:spacing w:after="200"/>
      </w:pPr>
      <w:r>
        <w:rPr>
          <w:i/>
          <w:iCs/>
          <w:color w:val="595959"/>
          <w:sz w:val="18"/>
          <w:szCs w:val="18"/>
        </w:rPr>
        <w:t xml:space="preserve">澄星股份(600078)_公司公告_澄星股份：关于子公司增资暨对外投资的公告新浪财经_新浪网 — https://vip.stock.finance.sina.com.cn/corp/view/vCB_AllBulletinDetail.php?id=12500030&amp;stockid=600078</w:t>
      </w:r>
    </w:p>
    <w:p>
      <w:pPr>
        <w:spacing w:after="200"/>
      </w:pPr>
      <w:r>
        <w:rPr>
          <w:i/>
          <w:iCs/>
          <w:color w:val="595959"/>
          <w:sz w:val="18"/>
          <w:szCs w:val="18"/>
        </w:rPr>
        <w:t xml:space="preserve">澄星股份(600078)_公司公告_澄星股份：关于江阴工厂停产的公告新浪财经_新浪网 — https://money.finance.sina.com.cn/corp/view/vCB_AllBulletinDetail.php?id=11874631&amp;stockid=600078</w:t>
      </w:r>
    </w:p>
    <w:p>
      <w:pPr>
        <w:spacing w:after="200"/>
      </w:pPr>
      <w:r>
        <w:rPr>
          <w:i/>
          <w:iCs/>
          <w:color w:val="595959"/>
          <w:sz w:val="18"/>
          <w:szCs w:val="18"/>
        </w:rPr>
        <w:t xml:space="preserve">澄星股份(600078)_公司公告_澄星股份：关于应收账款质押的公告新浪财经_新浪网 — https://vip.stock.finance.sina.com.cn/corp/view/vCB_AllBulletinDetail.php?id=12613615&amp;stockid=600078</w:t>
      </w:r>
    </w:p>
    <w:p>
      <w:pPr>
        <w:spacing w:after="200"/>
      </w:pPr>
      <w:r>
        <w:rPr>
          <w:i/>
          <w:iCs/>
          <w:color w:val="595959"/>
          <w:sz w:val="18"/>
          <w:szCs w:val="18"/>
        </w:rPr>
        <w:t xml:space="preserve">江苏澄星磷化工股份有限公司关于为控股子公司提供担保的进展公告_新浪财经_新浪网 — https://finance.sina.com.cn/roll/2026-09-22/doc-inisrnpx2580494.shtml</w:t>
      </w:r>
    </w:p>
    <w:p>
      <w:pPr>
        <w:spacing w:after="200"/>
      </w:pPr>
      <w:r>
        <w:rPr>
          <w:i/>
          <w:iCs/>
          <w:color w:val="595959"/>
          <w:sz w:val="18"/>
          <w:szCs w:val="18"/>
        </w:rPr>
        <w:t xml:space="preserve">澄星股份(600078)_公司公告_澄星股份：关于向公司2025年限制性股票激励计划激励对象授予预留部分限制性股票的公告新浪财经_新浪网 — https://vip.stock.finance.sina.com.cn/corp/view/vCB_AllBulletinDetail.php?id=12455375&amp;stockid=600078</w:t>
      </w:r>
    </w:p>
    <w:p>
      <w:pPr>
        <w:spacing w:after="200"/>
      </w:pPr>
      <w:r>
        <w:rPr>
          <w:i/>
          <w:iCs/>
          <w:color w:val="595959"/>
          <w:sz w:val="18"/>
          <w:szCs w:val="18"/>
        </w:rPr>
        <w:t xml:space="preserve">澄星股份(600078)_公司公告_澄星股份：2026年第二次临时股东会决议公告新浪财经_新浪网 — https://vip.stock.finance.sina.com.cn/corp/view/vCB_AllBulletinDetail.php?CompanyCode=10000051&amp;gather=1&amp;id=12584978</w:t>
      </w:r>
    </w:p>
    <w:p>
      <w:pPr>
        <w:spacing w:after="200"/>
      </w:pPr>
      <w:r>
        <w:rPr>
          <w:i/>
          <w:iCs/>
          <w:color w:val="595959"/>
          <w:sz w:val="18"/>
          <w:szCs w:val="18"/>
        </w:rPr>
        <w:t xml:space="preserve">澄星股份(600078)_公司公告_澄星股份：2026年半年度报告摘要新浪财经_新浪网 — https://money.finance.sina.com.cn/corp/view/vCB_AllBulletinDetail.php?id=12500028&amp;stockid=600078</w:t>
      </w:r>
    </w:p>
    <w:p>
      <w:pPr>
        <w:spacing w:after="200"/>
      </w:pPr>
      <w:r>
        <w:rPr>
          <w:i/>
          <w:iCs/>
          <w:color w:val="595959"/>
          <w:sz w:val="18"/>
          <w:szCs w:val="18"/>
        </w:rPr>
        <w:t xml:space="preserve">澄星股份(600078)资金流向_个股行情_同花顺财经 — https://f10.10jqka.com.cn/600078/funds/</w:t>
      </w:r>
    </w:p>
    <w:p>
      <w:pPr>
        <w:spacing w:after="200"/>
      </w:pPr>
      <w:r>
        <w:rPr>
          <w:i/>
          <w:iCs/>
          <w:color w:val="595959"/>
          <w:sz w:val="18"/>
          <w:szCs w:val="18"/>
        </w:rPr>
        <w:t xml:space="preserve">股票行情快报：澄星股份（600078）9月30日主力资金净卖出248.54万元_主力研究_股票_证券之星 — https://wap.stockstar.com/detail/RB2026093000032962</w:t>
      </w:r>
    </w:p>
    <w:p>
      <w:pPr>
        <w:spacing w:after="200"/>
      </w:pPr>
      <w:r>
        <w:rPr>
          <w:i/>
          <w:iCs/>
          <w:color w:val="595959"/>
          <w:sz w:val="18"/>
          <w:szCs w:val="18"/>
        </w:rPr>
        <w:t xml:space="preserve">澄星股份(600078)_重大事项提醒与新闻公告_投资提醒_新浪财经_新浪网 — https://vip.stock.finance.sina.com.cn/corp/view/vCB_AllMemordDetail.php?stockid=600078</w:t>
      </w:r>
    </w:p>
    <w:p>
      <w:pPr>
        <w:spacing w:after="200"/>
      </w:pPr>
      <w:r>
        <w:rPr>
          <w:i/>
          <w:iCs/>
          <w:color w:val="595959"/>
          <w:sz w:val="18"/>
          <w:szCs w:val="18"/>
        </w:rPr>
        <w:t xml:space="preserve">9月30日澄星股份(600078)今日最新主力资金流向-kiss概念风向标 — https://www.kissdown.cn/daima/600078.html</w:t>
      </w:r>
    </w:p>
    <w:p>
      <w:pPr>
        <w:spacing w:after="200"/>
      </w:pPr>
      <w:r>
        <w:rPr>
          <w:i/>
          <w:iCs/>
          <w:color w:val="595959"/>
          <w:sz w:val="18"/>
          <w:szCs w:val="18"/>
        </w:rPr>
        <w:t xml:space="preserve">本报告由AI基于公开渠道信息自动检索、整理并生成，信息截至 行情及技术指标截至2026年9月30日收盘，可能存在时效性差异，具体数据请以公司正式公告及权威数据终端为准。本报告仅为信息整理与研究参考，不构成任何投资建议，投资者应独立判断并自行承担投资风险。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2026-10-01T13:10:14.180Z</dcterms:created>
  <dcterms:modified xsi:type="dcterms:W3CDTF">2026-10-01T13:10:14.180Z</dcterms:modified>
</cp:coreProperties>
</file>

<file path=docProps/custom.xml><?xml version="1.0" encoding="utf-8"?>
<Properties xmlns="http://schemas.openxmlformats.org/officeDocument/2006/custom-properties" xmlns:vt="http://schemas.openxmlformats.org/officeDocument/2006/docPropsVTypes"/>
</file>