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江苏永鼎股份有限公司（永鼎股份） (600105)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行业：通信线缆及配套、汽车线束、电力工程、高温超导</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截至2026年9月11日收盘；技术指标采用日线、不复权收盘价口径，部分平台因计算时点或口径不同存在差异。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永鼎股份2026年上半年实现营业收入33.39亿元，同比增长47.75%；归母净利润5.03亿元，同比增长58.06%；扣非归母净利润5.04亿元，同比增长59.81%，经营活动现金流净额转为3.46亿元，业绩增长主要由光通信业务驱动。光通信收入约12.82亿元，同比增长199.82%，成为当前最具决策意义的增长来源；汽车线束收入约9.00亿元，同比增长15.04%，超导及铜导体收入约4.94亿元，同比增长37.37%，而电力工程收入同比下降3.05%。</w:t>
      </w:r>
    </w:p>
    <w:p>
      <w:pPr>
        <w:spacing w:after="160" w:line="300"/>
      </w:pPr>
      <w:r>
        <w:rPr>
          <w:sz w:val="22"/>
          <w:szCs w:val="22"/>
        </w:rPr>
        <w:t xml:space="preserve">公司已从传统光通信线缆、汽车线束、电力工程和铜导体制造，向光芯片、高温超导及大数据应用等高附加值方向延伸。控股子公司苏州鼎芯近期获得合计约11.33亿元的大功率激光器芯片订单，交付期至2027年12月及2028年1月，但客户、产品毛利率和分批交付节奏尚未披露，订单金额不能直接等同于未来收入或利润。</w:t>
      </w:r>
    </w:p>
    <w:p>
      <w:pPr>
        <w:spacing w:after="160" w:line="300"/>
      </w:pPr>
      <w:r>
        <w:rPr>
          <w:sz w:val="22"/>
          <w:szCs w:val="22"/>
        </w:rPr>
        <w:t xml:space="preserve">盈利质量和业务结构仍存在分化。2025年综合毛利率为13.36%，归母净利率约4.42%，当年利润增长受到联营企业权益法投资收益增加影响；2026年上半年销售毛利率提升至27.89%，扣非利润略高于归母利润，经营性改善更为明显，但汽车线束仍受新项目爬坡影响，海外电力工程则受到项目延期、材料涨价、分包成本和汇率等因素压制。</w:t>
      </w:r>
    </w:p>
    <w:p>
      <w:pPr>
        <w:spacing w:after="160" w:line="300"/>
      </w:pPr>
      <w:r>
        <w:rPr>
          <w:sz w:val="22"/>
          <w:szCs w:val="22"/>
        </w:rPr>
        <w:t xml:space="preserve">截至2026年9月11日，公司股价收于42.20元，站上MA5、MA10和MA20，短线技术形态偏强，但接近布林上轨42.66元，单日成交额86.54亿元、换手率14.13%，显示高波动和较大筹码分歧。当前TTM市盈率约147倍、市净率约16.95倍，市场对光通信景气、光芯片订单和未来利润释放已有较高预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600105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1997年9月29日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注册地址及主要办公地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江苏省苏州市吴江区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最新完整业务资料</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《2025年年度报告》，报告期截至2025年12月31日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2025年年度报告披露日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2026年4月21日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2025年为51.45亿元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主营业务综合毛利率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2025年为13.36%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营业收入及归母净利率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2025年营业收入52.87亿元，归属于上市公司股东的净利润2.34亿元，归母净利率约4.42%</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资源储备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公司并非矿产资源类公司，不存在煤炭、矿产、油气等传统意义上的资源储备；核心资源主要体现为制造能力、工艺平台、客户认证及配套关系、海外工程经验和合作网络</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光通信产业：覆盖光棒、光纤、光缆，并向光芯片、光器件、MPO连接器、光网络集成、数据采集分析、信息安全和大数据应用延伸</w:t>
      </w:r>
    </w:p>
    <w:p>
      <w:pPr>
        <w:pStyle w:val="ListParagraph"/>
        <w:numPr>
          <w:ilvl w:val="0"/>
          <w:numId w:val="2"/>
        </w:numPr>
        <w:spacing w:after="80" w:line="280"/>
      </w:pPr>
      <w:r>
        <w:rPr>
          <w:sz w:val="22"/>
          <w:szCs w:val="22"/>
        </w:rPr>
        <w:t xml:space="preserve">电力传输产业：包括海外电力工程、汽车线束、高温超导带材、电线电缆及铜导体</w:t>
      </w:r>
    </w:p>
    <w:p>
      <w:pPr>
        <w:pStyle w:val="ListParagraph"/>
        <w:numPr>
          <w:ilvl w:val="0"/>
          <w:numId w:val="2"/>
        </w:numPr>
        <w:spacing w:after="80" w:line="280"/>
      </w:pPr>
      <w:r>
        <w:rPr>
          <w:sz w:val="22"/>
          <w:szCs w:val="22"/>
        </w:rPr>
        <w:t xml:space="preserve">光通信：2025年营业收入9.99亿元，占主营业务收入约19.42%，毛利率20.77%</w:t>
      </w:r>
    </w:p>
    <w:p>
      <w:pPr>
        <w:pStyle w:val="ListParagraph"/>
        <w:numPr>
          <w:ilvl w:val="0"/>
          <w:numId w:val="2"/>
        </w:numPr>
        <w:spacing w:after="80" w:line="280"/>
      </w:pPr>
      <w:r>
        <w:rPr>
          <w:sz w:val="22"/>
          <w:szCs w:val="22"/>
        </w:rPr>
        <w:t xml:space="preserve">汽车线束：2025年营业收入18.75亿元，占主营业务收入约36.45%，毛利率11.73%</w:t>
      </w:r>
    </w:p>
    <w:p>
      <w:pPr>
        <w:pStyle w:val="ListParagraph"/>
        <w:numPr>
          <w:ilvl w:val="0"/>
          <w:numId w:val="2"/>
        </w:numPr>
        <w:spacing w:after="80" w:line="280"/>
      </w:pPr>
      <w:r>
        <w:rPr>
          <w:sz w:val="22"/>
          <w:szCs w:val="22"/>
        </w:rPr>
        <w:t xml:space="preserve">电力工程：2025年营业收入13.81亿元，占主营业务收入约26.84%，毛利率9.05%</w:t>
      </w:r>
    </w:p>
    <w:p>
      <w:pPr>
        <w:pStyle w:val="ListParagraph"/>
        <w:numPr>
          <w:ilvl w:val="0"/>
          <w:numId w:val="2"/>
        </w:numPr>
        <w:spacing w:after="80" w:line="280"/>
      </w:pPr>
      <w:r>
        <w:rPr>
          <w:sz w:val="22"/>
          <w:szCs w:val="22"/>
        </w:rPr>
        <w:t xml:space="preserve">超导及铜导体：2025年营业收入8.41亿元，占主营业务收入约16.35%，毛利率11.73%；年报未拆分高温超导带材与铜导体的收入、成本及利润</w:t>
      </w:r>
    </w:p>
    <w:p>
      <w:pPr>
        <w:pStyle w:val="ListParagraph"/>
        <w:numPr>
          <w:ilvl w:val="0"/>
          <w:numId w:val="2"/>
        </w:numPr>
        <w:spacing w:after="80" w:line="280"/>
      </w:pPr>
      <w:r>
        <w:rPr>
          <w:sz w:val="22"/>
          <w:szCs w:val="22"/>
        </w:rPr>
        <w:t xml:space="preserve">大数据应用：2025年营业收入4,836.06万元，占主营业务收入约0.94%，毛利率74.88%</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永鼎股份以光通信线缆、汽车线束、电线电缆等中游制造业务为基本盘，以海外电力工程提供收入支撑，并向光芯片、高温超导等技术环节延伸。公司目前仍处于中游制造与工程服务为主的位置，部分特种光纤、光芯片和超导产品具备向高附加值环节升级的潜力。</w:t>
      </w:r>
    </w:p>
    <w:p>
      <w:pPr>
        <w:pStyle w:val="ListParagraph"/>
        <w:numPr>
          <w:ilvl w:val="0"/>
          <w:numId w:val="2"/>
        </w:numPr>
        <w:spacing w:after="80" w:line="280"/>
      </w:pPr>
      <w:r>
        <w:rPr>
          <w:sz w:val="22"/>
          <w:szCs w:val="22"/>
        </w:rPr>
        <w:t xml:space="preserve">光通信业务实际采购或使用的上游材料包括光纤预制棒及相关材料、石英材料、光纤涂覆材料、光缆护套材料、钢丝、铝带、阻水材料，以及连接器和光器件相关材料。2025年光通信原材料成本5.53亿元，占该产品成本69.88%；公司未进一步拆分具体材料采购金额，也未披露相应供应商集中度。</w:t>
      </w:r>
    </w:p>
    <w:p>
      <w:pPr>
        <w:pStyle w:val="ListParagraph"/>
        <w:numPr>
          <w:ilvl w:val="0"/>
          <w:numId w:val="2"/>
        </w:numPr>
        <w:spacing w:after="80" w:line="280"/>
      </w:pPr>
      <w:r>
        <w:rPr>
          <w:sz w:val="22"/>
          <w:szCs w:val="22"/>
        </w:rPr>
        <w:t xml:space="preserve">汽车线束业务主要使用铜导体、电线、端子、连接器、塑壳、胶带、波纹管、密封件及其他绝缘和防护材料。2025年原材料成本12.38亿元，占成本74.76%；公司对铜价等大宗原材料缺乏绝对定价权，材料价格能否向下游传导取决于具体项目合同及主机厂议价机制。</w:t>
      </w:r>
    </w:p>
    <w:p>
      <w:pPr>
        <w:pStyle w:val="ListParagraph"/>
        <w:numPr>
          <w:ilvl w:val="0"/>
          <w:numId w:val="2"/>
        </w:numPr>
        <w:spacing w:after="80" w:line="280"/>
      </w:pPr>
      <w:r>
        <w:rPr>
          <w:sz w:val="22"/>
          <w:szCs w:val="22"/>
        </w:rPr>
        <w:t xml:space="preserve">超导及铜导体业务原材料成本6.83亿元，占该板块成本91.95%，对金属材料、超导带材制备材料和相关基材价格高度敏感。铜导体业务受到铜价波动影响，2025年公司针对非运营商客户进行战略性备货，期末库存同比增加73.33%。</w:t>
      </w:r>
    </w:p>
    <w:p>
      <w:pPr>
        <w:pStyle w:val="ListParagraph"/>
        <w:numPr>
          <w:ilvl w:val="0"/>
          <w:numId w:val="2"/>
        </w:numPr>
        <w:spacing w:after="80" w:line="280"/>
      </w:pPr>
      <w:r>
        <w:rPr>
          <w:sz w:val="22"/>
          <w:szCs w:val="22"/>
        </w:rPr>
        <w:t xml:space="preserve">海外电力工程的成本主要包括电气设备、导线电缆、变压器及输配电设备、工程材料、分包成本、运输和现场施工费用。2025年材料费5.64亿元，占成本44.94%；分包成本6.42亿元，占51.14%。材料涨价、分包成本上升、项目延期和汇率波动会直接压缩利润。</w:t>
      </w:r>
    </w:p>
    <w:p>
      <w:pPr>
        <w:pStyle w:val="ListParagraph"/>
        <w:numPr>
          <w:ilvl w:val="0"/>
          <w:numId w:val="2"/>
        </w:numPr>
        <w:spacing w:after="80" w:line="280"/>
      </w:pPr>
      <w:r>
        <w:rPr>
          <w:sz w:val="22"/>
          <w:szCs w:val="22"/>
        </w:rPr>
        <w:t xml:space="preserve">总体而言，公司在普通光缆、铜导体和汽车线束等业务上对基础材料及大宗商品的议价能力有限，更接近成本和产品价格的双重接受者；特种光纤、光芯片和高温超导业务可能凭借技术及认证能力获得一定差异化溢价，但规模化经营数据仍不足以验证其稳定定价权。</w:t>
      </w:r>
    </w:p>
    <w:p>
      <w:pPr>
        <w:pStyle w:val="ListParagraph"/>
        <w:numPr>
          <w:ilvl w:val="0"/>
          <w:numId w:val="2"/>
        </w:numPr>
        <w:spacing w:after="80" w:line="280"/>
      </w:pPr>
      <w:r>
        <w:rPr>
          <w:sz w:val="22"/>
          <w:szCs w:val="22"/>
        </w:rPr>
        <w:t xml:space="preserve">公司未披露石英材料、铜材、连接器、端子、超导基材等具体品类的供应商集中度和采购价格传导机制，相关判断存在数据局限。</w:t>
      </w:r>
    </w:p>
    <w:p>
      <w:pPr>
        <w:pStyle w:val="ListParagraph"/>
        <w:numPr>
          <w:ilvl w:val="0"/>
          <w:numId w:val="2"/>
        </w:numPr>
        <w:spacing w:after="80" w:line="280"/>
      </w:pPr>
      <w:r>
        <w:rPr>
          <w:sz w:val="22"/>
          <w:szCs w:val="22"/>
        </w:rPr>
        <w:t xml:space="preserve">光通信下游主要包括中国电信、中国移动、中国联通、中国广电、通信设备厂商、数据中心客户、轨道交通客户及电力等非运营商客户。运营商市场具有集中采购、招投标和价格竞争特征，2025年运营商集采招标时间延后，导致公司光缆产销量下降。</w:t>
      </w:r>
    </w:p>
    <w:p>
      <w:pPr>
        <w:pStyle w:val="ListParagraph"/>
        <w:numPr>
          <w:ilvl w:val="0"/>
          <w:numId w:val="2"/>
        </w:numPr>
        <w:spacing w:after="80" w:line="280"/>
      </w:pPr>
      <w:r>
        <w:rPr>
          <w:sz w:val="22"/>
          <w:szCs w:val="22"/>
        </w:rPr>
        <w:t xml:space="preserve">汽车线束下游包括上汽大众、上汽通用、沃尔沃、UZAUTO、比亚迪、岚图汽车、零跑汽车，以及康明斯、华为、延锋国际、安道拓等一级零部件客户；公司还披露与小鹏汇天在飞行汽车线束领域建立合作。该业务认证周期长、定制化程度高，但整车厂和大型零部件客户通常具有更强议价能力，并对供应商提出年度降价、成本、质量和交付要求。</w:t>
      </w:r>
    </w:p>
    <w:p>
      <w:pPr>
        <w:pStyle w:val="ListParagraph"/>
        <w:numPr>
          <w:ilvl w:val="0"/>
          <w:numId w:val="2"/>
        </w:numPr>
        <w:spacing w:after="80" w:line="280"/>
      </w:pPr>
      <w:r>
        <w:rPr>
          <w:sz w:val="22"/>
          <w:szCs w:val="22"/>
        </w:rPr>
        <w:t xml:space="preserve">汽车线束供应商通常在车型开发早期介入，新项目导入初期存在设备、人工、良率和产能爬坡压力。2025年公司汽车线束收入增长主要来自新承接项目增加，但项目处于前期爬坡阶段，制造成本较高，毛利率下降。</w:t>
      </w:r>
    </w:p>
    <w:p>
      <w:pPr>
        <w:pStyle w:val="ListParagraph"/>
        <w:numPr>
          <w:ilvl w:val="0"/>
          <w:numId w:val="2"/>
        </w:numPr>
        <w:spacing w:after="80" w:line="280"/>
      </w:pPr>
      <w:r>
        <w:rPr>
          <w:sz w:val="22"/>
          <w:szCs w:val="22"/>
        </w:rPr>
        <w:t xml:space="preserve">海外电力工程下游主要为海外电力公司、政府部门、国家电网及项目业主。该业务以项目制为主，收入和利润受项目结算进度、业主付款、项目延期、当地政治经济环境、汇率和分包管理影响。</w:t>
      </w:r>
    </w:p>
    <w:p>
      <w:pPr>
        <w:pStyle w:val="ListParagraph"/>
        <w:numPr>
          <w:ilvl w:val="0"/>
          <w:numId w:val="2"/>
        </w:numPr>
        <w:spacing w:after="80" w:line="280"/>
      </w:pPr>
      <w:r>
        <w:rPr>
          <w:sz w:val="22"/>
          <w:szCs w:val="22"/>
        </w:rPr>
        <w:t xml:space="preserve">高温超导带材下游应用包括可控核聚变磁体、超导电力装备、超导感应加热、超导磁拉单晶、高端医疗、高速磁悬浮、军工及重大科学工程。该业务仍处于产业化和扩产阶段，客户验证周期及商业化进度存在不确定性。</w:t>
      </w:r>
    </w:p>
    <w:p>
      <w:pPr>
        <w:pStyle w:val="ListParagraph"/>
        <w:numPr>
          <w:ilvl w:val="0"/>
          <w:numId w:val="2"/>
        </w:numPr>
        <w:spacing w:after="80" w:line="280"/>
      </w:pPr>
      <w:r>
        <w:rPr>
          <w:sz w:val="22"/>
          <w:szCs w:val="22"/>
        </w:rPr>
        <w:t xml:space="preserve">截至2025年12月31日，应收账款14.60亿元，占全年营业收入约27.61%，约为2025年归母净利润的6.25倍；存货8.99亿元，占总资产9.90%，同比增长36.89%；合同资产1.60亿元，同比增长33.60%；应付账款13.08亿元，占全年营业收入约24.74%，同比增长45.00%；预付款项4,250.50万元，同比下降54.89%。2025年经营活动现金流净额由2024年的负33,597.63万元转为正31,161.52万元，但存货和合同资产同时上升，反映汽车线束扩产、铜导体备货及海外工程结算仍占用较多营运资金。年报未披露分业务应收账款周转天数、主要客户应收账款余额及具体付款条件，因此无法精确判断各业务的回款议价能力。</w:t>
      </w:r>
    </w:p>
    <w:p>
      <w:pPr>
        <w:pStyle w:val="ListParagraph"/>
        <w:numPr>
          <w:ilvl w:val="0"/>
          <w:numId w:val="2"/>
        </w:numPr>
        <w:spacing w:after="80" w:line="280"/>
      </w:pPr>
      <w:r>
        <w:rPr>
          <w:sz w:val="22"/>
          <w:szCs w:val="22"/>
        </w:rPr>
        <w:t xml:space="preserve">2025年前五大客户销售额25.84亿元，占年度销售总额48.88%。该数据对应2025年度，年报未披露前五大客户具体名称及单一客户销售金额，无法进一步判断三大运营商、汽车主机厂和海外工程业主分别占比；该数据来源单一、未能进一步交叉核实，具体以最新年报为准。公司整体客户集中度较高，运营商和大型整车厂客户对价格、采购节奏和交付条件具有较强影响力。</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综合毛利率数据缺失；分产品毛利率：光通信13.34%、汽车线束14.21%、电力工程20.10%、大数据应用41.96%、超导及铜导体15.26%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归母净利率约1.00%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营业收入43.45亿元，归母净利润4,325.03万元。电力工程收入及毛利率明显改善，汽车线束和超导及铜导体毛利率提升；光通信市场需求不足，收入和毛利率下降。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综合毛利率数据缺失；分产品毛利率：光通信16.60%、汽车线束13.18%、电力工程19.08%、大数据应用61.95%、超导及铜导体10.60%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归母净利率约1.49%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营业收入41.11亿元，归母净利润6,141.45万元。运营商前期中标订单集中交付带动光缆产销量和光通信毛利率提升；汽车线束受燃油车市场需求下降影响，超导及铜导体受原材料成本上升影响。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综合毛利率13.36%；分产品毛利率：光通信20.77%、汽车线束11.73%、电力工程9.05%、大数据应用74.88%、超导及铜导体11.73%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归母净利率约4.42%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52.87亿元，归母净利润2.34亿元。光通信受智能制造、降本增效和产品结构优化推动，毛利率提升；汽车线束受新项目爬坡影响下降；电力工程受项目延期、材料涨价、分包成本和汇率影响大幅下降；归母净利率提升还受到联营企业权益法投资收益增加影响，不能完全等同于主营业务盈利能力同步改善。</w:t>
            </w:r>
          </w:p>
        </w:tc>
      </w:tr>
    </w:tbl>
    <w:p>
      <w:pPr>
        <w:spacing w:before="200"/>
      </w:pPr>
    </w:p>
    <w:p>
      <w:pPr>
        <w:spacing w:after="160" w:line="300"/>
      </w:pPr>
      <w:r>
        <w:rPr>
          <w:sz w:val="22"/>
          <w:szCs w:val="22"/>
        </w:rPr>
        <w:t xml:space="preserve">公司当前位于产业链中游制造与工程服务位置，光通信线缆、汽车线束、铜导体和海外电力工程整体偏中游、利润率易受材料成本、集采或主机厂压价、项目执行及结算影响；大数据应用、特种光纤、光芯片和高温超导代表向高附加值环节延伸。后续利润改善主要依赖光通信产品结构升级和成本控制、汽车线束新项目爬坡后的良率与规模效应、铜材及工程成本管理，以及光芯片和高温超导业务能否实现规模化商业落地。</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33.3902亿元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+47.75%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归母净利润5.0345亿元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+58.06%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约20.93亿元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+51.46%（同比）；环比+68.05%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归母净利润约3.45亿元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约+1098.67%（同比）；环比+116.98%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52.87亿元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归母净利润2.34亿元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+280.43%</w:t>
            </w:r>
          </w:p>
        </w:tc>
      </w:tr>
    </w:tbl>
    <w:p>
      <w:pPr>
        <w:spacing w:after="200"/>
      </w:pPr>
      <w:r>
        <w:rPr>
          <w:i/>
          <w:iCs/>
          <w:color w:val="595959"/>
          <w:sz w:val="18"/>
          <w:szCs w:val="18"/>
        </w:rPr>
        <w:t xml:space="preserve">截至2026年6月30日，最新公开财报为2026年半年度报告，公告日为2026年8月20日，报告未经审计。2026年上半年扣非归母净利润为5.0389亿元，同比增长59.81%；基本每股收益0.344元；经营活动产生的现金流量净额为3.4646亿元，上年同期为净流出1928.45万元。2025年全年净利润包含较明显的投资收益影响。数据来源：公司2026年半年度报告及相关公开资料。</w:t>
      </w:r>
    </w:p>
    <w:p>
      <w:pPr>
        <w:spacing w:after="160" w:line="300"/>
      </w:pPr>
      <w:r>
        <w:rPr>
          <w:sz w:val="22"/>
          <w:szCs w:val="22"/>
        </w:rPr>
        <w:t xml:space="preserve">2026年上半年收入和利润均实现较快增长，扣非归母净利润略高于归母净利润，表明本期利润主要来自经常性经营活动，非经常性损益对归母利润的拖累较小。公司销售毛利率为27.89%，同比提升14.30个百分点；研发费用为1.5569亿元，同比增长37.46%。分业务看，光通信业务收入约12.82亿元，同比增长199.82%，是收入和利润增长的主要来源；汽车线束业务收入约9.00亿元，同比增长15.04%；电力工程业务收入约6.56亿元，同比下降3.05%；超导及铜导体业务收入约4.94亿元，同比增长37.37%。需注意，2026年第二季度同比利润增速较高，部分原因是上年同期利润基数较低，不宜简单外推为全年利润增速。公司2026年上半年资产负债率约62.43%，高于同花顺页面显示的行业平均水平约39.21%，后续需关注经营性现金流、扩产投入、融资成本、订单兑现及光通信业务毛利率变化。 </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根据同花顺F10汇总，截至2026年9月11日，近六个月内约有5家机构对永鼎股份2026—2028年业绩进行预测，表中为机构预测平均值。上述数据属于卖方机构预测，并非公司公告或审计数据，不同机构之间分歧较大。机构预测平均值可能因研报更新、样本变化和数据刷新时间不同而变化；研究纪要显示，2026年归母净利润预测区间约为10.00亿—13.20亿元，2027年约为17.90亿—34.71亿元，2028年约为28.10亿—41.97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机构平均预测约71.76亿元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归母净利润约11.20亿元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约+379.54%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约0.76元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机构平均预测约107.91亿元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归母净利润约27.84亿元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约+148.57%</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机构平均预测约139.31亿元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归母净利润约35.39亿元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约+27.13%</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约2.42元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太平洋证券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首次覆盖。预测2026—2028年营业收入分别为70.54亿元、112.80亿元、139.84亿元；归母净利润分别为10.85亿元、25.99亿元、32.53亿元；EPS分别为0.74元、1.78元、2.23元。按当时股价计算的预测市盈率分别为55.90倍、23.33倍和18.64倍。正式目标价未在可核验的公开摘要中明确披露。</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评级由“增持”上调至“买入”。预计2026—2028年归母净利润分别为10.95亿元、25.99亿元和33.26亿元，EPS分别为0.75元、1.78元和2.28元。正式目标价未在可核验的公开摘要中明确披露。</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预计2026—2028年归母净利润分别为11.02亿元、17.90亿元和28.10亿元，EPS分别为0.75元、1.22元和1.92元。正式目标价未在可核验的公开摘要中明确披露。</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方正证券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公开资料披露评级，研究纪要未提供其具体盈利预测。正式目标价未在可核验的公开摘要中明确披露。</w:t>
            </w:r>
          </w:p>
        </w:tc>
      </w:tr>
    </w:tbl>
    <w:p>
      <w:pPr>
        <w:spacing w:before="200"/>
      </w:pPr>
    </w:p>
    <w:p>
      <w:pPr>
        <w:spacing w:after="160" w:line="300"/>
      </w:pPr>
      <w:r>
        <w:rPr>
          <w:sz w:val="22"/>
          <w:szCs w:val="22"/>
        </w:rPr>
        <w:t xml:space="preserve">截至2026年9月11日收盘，股价约42.20元，总市值约613.7亿元，流通股本约14.62亿股，52周价格区间约为9.90—73.97元。按2026年上半年报告披露的每股收益约0.29元计算，当前滚动市盈率约145倍；不同行情平台显示的PE约为140—150倍，市净率约15.5—16.7倍。按太平洋证券预测的2026年EPS 0.74元计算，对应2026年预测PE约57倍；按同花顺机构平均预测EPS 0.76元计算，对应2026年预测PE约56倍；按2027年和2028年机构平均EPS 1.90元、2.42元计算，对应预测PE约22倍、17倍。当前TTM口径PE和PB均处于较高水平，市场已对光通信景气、光芯片订单及未来利润释放进行了较充分定价；估值能否合理消化，核心取决于光通信收入增长、光纤价格、光芯片订单交付及毛利率提升能否兑现。公司2026年上半年已实现归母净利润5.03亿元，而机构2026年净利润预测大多在10亿—13亿元区间，意味着下半年仍需实现约5亿—8亿元净利润，预测兑现对光通信高景气和光芯片业务放量依赖较高。公开可核验的券商研报摘要大多未披露中泰证券、招商证券、方正证券和太平洋证券的正式目标价，不宜将网络转载或自媒体目标价作为正式机构目标价。Investing.com显示12个月平均目标价为70元，最高和最低均为70元，来源为2名分析师，但未充分披露分析师姓名、所属机构及原始研报，仅可作为市场数据平台参考，不能视为已交叉核实的机构一致目标价。</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2026年半年度业绩预增，半年报业绩基本兑现</w:t>
      </w:r>
    </w:p>
    <w:p>
      <w:pPr>
        <w:spacing w:after="160" w:line="300"/>
      </w:pPr>
      <w:r>
        <w:rPr>
          <w:sz w:val="22"/>
          <w:szCs w:val="22"/>
        </w:rPr>
        <w:t xml:space="preserve">2026年7月6日，公司披露半年度业绩预增公告，预计2026年上半年归属于上市公司股东的净利润为5.00亿元至7.00亿元，同比增长57%至120%；扣除非经常性损益后的净利润为4.90亿元至6.90亿元，同比增长55%至119%。2026年8月20日披露的半年报显示，上半年营业收入33.39亿元，同比增长47.75%；归母净利润5.03亿元，同比增长58.06%；扣非净利润5.04亿元，同比增长59.81%。实际归母净利润处于此前预告区间下沿附近。公司称，业绩增长主要依靠光通信相关业务等因素，汽车线束板块和海外工程板块利润同比有所下降。</w:t>
      </w:r>
    </w:p>
    <w:p>
      <w:pPr>
        <w:pStyle w:val="Heading2"/>
        <w:spacing w:after="120" w:before="240"/>
      </w:pPr>
      <w:r>
        <w:rPr>
          <w:b/>
          <w:bCs/>
          <w:color w:val="2E74B5"/>
          <w:sz w:val="24"/>
          <w:szCs w:val="24"/>
        </w:rPr>
        <w:t xml:space="preserve">4.2 拟实施2026年半年度现金分红，9月17日提交临时股东会审议</w:t>
      </w:r>
    </w:p>
    <w:p>
      <w:pPr>
        <w:spacing w:after="160" w:line="300"/>
      </w:pPr>
      <w:r>
        <w:rPr>
          <w:sz w:val="22"/>
          <w:szCs w:val="22"/>
        </w:rPr>
        <w:t xml:space="preserve">公司拟每10股派发现金红利0.35元（含税），不送红股、不进行资本公积金转增。按2026年6月30日总股本14.61994802亿股计算，预计派发现金红利约5116.98万元，占上半年归母净利润的10.16%。公司2026年第一次临时股东会定于2026年9月17日召开，审议半年度利润分配方案。截至2026年9月12日，该方案尚未完成股东会审议，最终实施金额可能随股本变化而调整。</w:t>
      </w:r>
    </w:p>
    <w:p>
      <w:pPr>
        <w:pStyle w:val="Heading2"/>
        <w:spacing w:after="120" w:before="240"/>
      </w:pPr>
      <w:r>
        <w:rPr>
          <w:b/>
          <w:bCs/>
          <w:color w:val="2E74B5"/>
          <w:sz w:val="24"/>
          <w:szCs w:val="24"/>
        </w:rPr>
        <w:t xml:space="preserve">4.3 控股子公司获得约11.33亿元大功率激光器芯片订单</w:t>
      </w:r>
    </w:p>
    <w:p>
      <w:pPr>
        <w:spacing w:after="160" w:line="300"/>
      </w:pPr>
      <w:r>
        <w:rPr>
          <w:sz w:val="22"/>
          <w:szCs w:val="22"/>
        </w:rPr>
        <w:t xml:space="preserve">2026年7月30日前后，公司披露控股子公司苏州鼎芯光电科技有限公司签订日常经营性重大订单。近一个月内，苏州鼎芯收到A客户约5.42亿元人民币含税订单及B客户0.87亿美元、折合人民币约5.91亿元的含税订单，两笔订单合计约11.33亿元人民币。订单交付截止时间分别为2027年12月10日和2028年1月3日。公司表示，若订单顺利执行，预计将对2026年度及2027年度经营业绩产生积极影响。客户具体名称、产品型号、毛利率及分批交付节奏未披露，订单金额不应直接等同于未来营业收入或净利润。</w:t>
      </w:r>
    </w:p>
    <w:p>
      <w:pPr>
        <w:pStyle w:val="Heading2"/>
        <w:spacing w:after="120" w:before="240"/>
      </w:pPr>
      <w:r>
        <w:rPr>
          <w:b/>
          <w:bCs/>
          <w:color w:val="2E74B5"/>
          <w:sz w:val="24"/>
          <w:szCs w:val="24"/>
        </w:rPr>
        <w:t xml:space="preserve">4.4 控股股东部分股份解除质押并重新质押</w:t>
      </w:r>
    </w:p>
    <w:p>
      <w:pPr>
        <w:spacing w:after="160" w:line="300"/>
      </w:pPr>
      <w:r>
        <w:rPr>
          <w:sz w:val="22"/>
          <w:szCs w:val="22"/>
        </w:rPr>
        <w:t xml:space="preserve">2026年7月28日，控股股东永鼎集团解除质押公司流通股8700万股，并将其中5000万股重新质押给中国工商银行苏州长三角一体化示范区分行。公告披露后，永鼎集团累计质押公司股份1.465亿股，占其持有公司股份的41.97%，占公司总股本的10.02%；永鼎集团持有公司股份3.49034963亿股，占总股本23.87%。未来半年到期的质押股份合计6500万股，对应融资余额约2.40亿元。公司称控股股东资信状况良好，当前不存在平仓风险。</w:t>
      </w:r>
    </w:p>
    <w:p>
      <w:pPr>
        <w:pStyle w:val="Heading2"/>
        <w:spacing w:after="120" w:before="240"/>
      </w:pPr>
      <w:r>
        <w:rPr>
          <w:b/>
          <w:bCs/>
          <w:color w:val="2E74B5"/>
          <w:sz w:val="24"/>
          <w:szCs w:val="24"/>
        </w:rPr>
        <w:t xml:space="preserve">4.5 控股股东前期减持计划完成，减持比例为1%</w:t>
      </w:r>
    </w:p>
    <w:p>
      <w:pPr>
        <w:spacing w:after="160" w:line="300"/>
      </w:pPr>
      <w:r>
        <w:rPr>
          <w:sz w:val="22"/>
          <w:szCs w:val="22"/>
        </w:rPr>
        <w:t xml:space="preserve">公司披露的减持结果公告显示，控股股东永鼎集团在2026年3月24日至6月23日期间，通过集中竞价方式减持公司股份14,616,709股，减持比例为1%，减持总金额约4.864亿元，减持价格区间为25.92元/股至51.79元/股。减持完成后，永鼎集团持股数量为349,034,963股，持股比例降至23.874%。截至2026年9月12日，未检索到2026年9月新披露的大股东增持计划或新的大额减持计划。</w:t>
      </w:r>
    </w:p>
    <w:p>
      <w:pPr>
        <w:pStyle w:val="Heading2"/>
        <w:spacing w:after="120" w:before="240"/>
      </w:pPr>
      <w:r>
        <w:rPr>
          <w:b/>
          <w:bCs/>
          <w:color w:val="2E74B5"/>
          <w:sz w:val="24"/>
          <w:szCs w:val="24"/>
        </w:rPr>
        <w:t xml:space="preserve">4.6 股票交易出现异常波动，公司提示估值及交易风险</w:t>
      </w:r>
    </w:p>
    <w:p>
      <w:pPr>
        <w:spacing w:after="160" w:line="300"/>
      </w:pPr>
      <w:r>
        <w:rPr>
          <w:sz w:val="22"/>
          <w:szCs w:val="22"/>
        </w:rPr>
        <w:t xml:space="preserve">公司于2026年8月7日披露股票交易异常波动公告。2026年8月4日至6日，公司股票连续三个交易日收盘价格涨幅偏离值累计达到20%。同期换手率分别为14.29%、17.88%和13.50%。截至2026年8月5日，公司静态市盈率约228.71倍、滚动市盈率约520.35倍，而电气机械和器材制造业同期静态、滚动市盈率分别约24.46倍和23.86倍。公司自查并向控股股东、实际控制人问询后表示，不存在应披露而未披露的重大事项或重大信息，并提示公司基本面未发生重大变化及股票估值和交易风险。</w:t>
      </w:r>
    </w:p>
    <w:p>
      <w:pPr>
        <w:pStyle w:val="Heading2"/>
        <w:spacing w:after="120" w:before="240"/>
      </w:pPr>
      <w:r>
        <w:rPr>
          <w:b/>
          <w:bCs/>
          <w:color w:val="2E74B5"/>
          <w:sz w:val="24"/>
          <w:szCs w:val="24"/>
        </w:rPr>
        <w:t xml:space="preserve">4.7 新增对子公司银行授信担保1.748亿元</w:t>
      </w:r>
    </w:p>
    <w:p>
      <w:pPr>
        <w:spacing w:after="160" w:line="300"/>
      </w:pPr>
      <w:r>
        <w:rPr>
          <w:sz w:val="22"/>
          <w:szCs w:val="22"/>
        </w:rPr>
        <w:t xml:space="preserve">截至2026年9月12日，公司披露为子公司申请年度银行授信提供担保的进展公告。本次担保金额合计1.748亿元，包括为金亭汽车线束（苏州）有限公司提供1.00亿元担保、为东部超导科技（苏州）有限公司提供5500万元担保、为芜湖金亭电气有限公司提供1980万元担保。上述担保均为连带责任保证，担保期限分别为一年或三年，公告披露均无反担保。截至2026年9月12日，公司及控股子公司实际对外担保总额为28.914499亿元，占公司2025年末经审计净资产的91.01%；其中公司对控股子公司的实际担保余额为24.330499亿元，占净资产的76.58%。公司披露目前不存在逾期担保。</w:t>
      </w:r>
    </w:p>
    <w:p>
      <w:pPr>
        <w:pStyle w:val="Heading2"/>
        <w:spacing w:after="120" w:before="240"/>
      </w:pPr>
      <w:r>
        <w:rPr>
          <w:b/>
          <w:bCs/>
          <w:color w:val="2E74B5"/>
          <w:sz w:val="24"/>
          <w:szCs w:val="24"/>
        </w:rPr>
        <w:t xml:space="preserve">4.8 回购事项检索未发现新增相关公告</w:t>
      </w:r>
    </w:p>
    <w:p>
      <w:pPr>
        <w:spacing w:after="160" w:line="300"/>
      </w:pPr>
      <w:r>
        <w:rPr>
          <w:sz w:val="22"/>
          <w:szCs w:val="22"/>
        </w:rPr>
        <w:t xml:space="preserve">截至2026年9月12日，在围绕2026年6月至9月股份回购事项的公告检索范围内，未发现公司新披露股份回购方案、回购进展公告或回购注销公告。</w:t>
      </w:r>
    </w:p>
    <w:p>
      <w:pPr>
        <w:pStyle w:val="Heading2"/>
        <w:spacing w:after="120" w:before="240"/>
      </w:pPr>
      <w:r>
        <w:rPr>
          <w:b/>
          <w:bCs/>
          <w:color w:val="2E74B5"/>
          <w:sz w:val="24"/>
          <w:szCs w:val="24"/>
        </w:rPr>
        <w:t xml:space="preserve">4.9 并购重组事项检索未发现新增重大公告</w:t>
      </w:r>
    </w:p>
    <w:p>
      <w:pPr>
        <w:spacing w:after="160" w:line="300"/>
      </w:pPr>
      <w:r>
        <w:rPr>
          <w:sz w:val="22"/>
          <w:szCs w:val="22"/>
        </w:rPr>
        <w:t xml:space="preserve">截至2026年9月12日，未检索到公司在2026年6月至9月期间披露新的重大资产重组、发行股份购买资产、吸收合并或重大股权收购公告。苏州鼎芯约11.33亿元大功率激光器芯片订单属于日常经营性订单，不属于并购重组。</w:t>
      </w:r>
    </w:p>
    <w:p>
      <w:pPr>
        <w:pStyle w:val="Heading2"/>
        <w:spacing w:after="120" w:before="240"/>
      </w:pPr>
      <w:r>
        <w:rPr>
          <w:b/>
          <w:bCs/>
          <w:color w:val="2E74B5"/>
          <w:sz w:val="24"/>
          <w:szCs w:val="24"/>
        </w:rPr>
        <w:t xml:space="preserve">4.10 监管及政策事项检索未发现重大监管措施</w:t>
      </w:r>
    </w:p>
    <w:p>
      <w:pPr>
        <w:spacing w:after="160" w:line="300"/>
      </w:pPr>
      <w:r>
        <w:rPr>
          <w:sz w:val="22"/>
          <w:szCs w:val="22"/>
        </w:rPr>
        <w:t xml:space="preserve">截至2026年9月12日，未发现公司在2026年6月至9月期间收到交易所纪律处分、立案调查或重大监管措施的公告。2026年8月7日披露的异常波动公告属于交易风险提示和公司自查披露，不代表公司受到监管处罚。</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42.20元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上涨1.82元，涨幅4.51%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日内价格区间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开盘40.00元，最高43.20元，最低39.99元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206.62万手，约2.066亿股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86.54亿元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14.13%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均约616.96亿元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约9.88~73.97元；52周高点73.97元出现于2026年6月25日，低点约9.88~9.90元出现于2025年9月18日前后</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2026年8月20日至9月11日大致运行于37.16~43.20元；近期主要在37~43元区间反复震荡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估值指标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市净率约16.95倍；市盈率TTM约147.4倍，动态市盈率约61.34倍；不同平台还显示静态市盈率约264倍或约58.78倍，口径存在差异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MA5：40.43元；MA10：39.59元；MA20：39.67元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收盘价42.20元已站上5日、10日和20日均线，MA5高于MA10，但MA10略低于MA20，整体短线偏强，尚未形成非常稳定的中短期多头发散结构。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收盘价相对均线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较MA5高约4.37%，较MA10高约6.60%，较MA20高约6.36%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价格明显脱离短期均线，短线动能较强，但若量价配合不足，回踩均线的波动风险也相应增加。</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DIF：0.10；DEA：-0.33；MACD柱：+0.85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DIF位于DEA上方，柱状图位于零轴上方，短线动能偏多；但绝对值不大，更适合解读为反弹动能占优，尚不足以确认中期趋势完全扭转。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RSI6：66.1；RSI12：57.9；RSI24：51.6；另一平台RSI14约61.664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短线买盘占优，RSI6接近但尚未进入传统超买区间，RSI12和RSI24处于中性偏强区域；若RSI6继续快速超过70而成交量未有效放大，需观察冲高回落风险。</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上轨42.66元；中轨39.67元；下轨36.69元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收盘价位于中轨与上轨之间，距离上轨约0.46元，短期偏强但42.66元附近存在技术压力；若上轨附近遇阻，回踩40元附近或39.7元中轨属于需要观察的技术路径。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52周及阶段走势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52周高点73.97元，当前较高点低约42.9%；当前较52周低点上涨约327%；2026年8月19日收盘37.94元，单日下跌10.01%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股价自2026年高点明显回撤，近期处于大幅波动后的区间震荡阶段；2026年9月7日至9月11日收盘价由38.99元升至42.20元，阶段涨幅约8.2%。</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9月11日主力资金净流入约6.03亿元；近10个交易日合计净流入约5.16亿元，其中4日净流入、6日净流出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近期资金进出强度较高，净流入与净流出交替出现，表现为高波动博弈，而非持续、平滑的单边增量资金流入。</w:t>
            </w:r>
          </w:p>
        </w:tc>
      </w:tr>
    </w:tbl>
    <w:p>
      <w:pPr>
        <w:spacing w:before="200"/>
      </w:pPr>
    </w:p>
    <w:p>
      <w:pPr>
        <w:spacing w:after="160" w:line="300"/>
      </w:pPr>
      <w:r>
        <w:rPr>
          <w:sz w:val="22"/>
          <w:szCs w:val="22"/>
        </w:rPr>
        <w:t xml:space="preserve">截至2026年9月11日，永鼎股份收于42.20元，重新站上MA5、MA10和MA20，MACD柱位于零轴上方，RSI处于中性偏强区间，短线技术形态偏强。与此同时，股价已接近布林上轨42.66元，且9月11日成交额86.54亿元、换手率14.13%，显著高于近期常态，显示筹码交换和多空分歧同步放大。近期主力资金总体净流入，但近10个交易日仅4日净流入、6日净流出，资金方向并不稳定。因此，当前更适合定义为高波动环境下的短线反弹偏强状态，尚不能仅凭单日上涨确认中期趋势已经完全反转或延续。</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42.66~43.50元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对应布林上轨约42.66元、近期盘中高点43.20~43.36元及前述枢轴压力区。若放量有效突破该区间，短线可能向前期成交密集区及45元附近拓展；若反复受阻，则需观察高位震荡或回踩。</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40.40~41.00元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对应MA5约40.43元、2026年9月10日收盘价40.38元及约40.96~41.00元的短线成交密集区。回踩后若成交额明显缩小且主力资金不再大幅流出，可能表现为强势整理；放量跌破则短线反弹结构会受到削弱。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39.60~40.00元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对应MA10约39.59元、MA20及布林中轨约39.67元、约39.88元的枢轴支撑及39~40元成交密集区。若有效跌破39.60元附近，下一步可能回测布林下轨约36.69元及2026年9月4日低点36.72元附近。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五成至六成；该权重是基于当前技术面与资金流的主观判断，不是统计概率）：价格区间约40.0~43.5元。触发条件包括股价未能有效突破42.66~43.50元压力带、回踩40.40~41.00元后获得承接、单日成交额回落至约35~55亿元的近期常态区间，以及通信板块维持强势但未全面加速。该情景下，股价可能在40元上方反复换手，等待新的板块或公司消息催化。</w:t>
      </w:r>
    </w:p>
    <w:p>
      <w:pPr>
        <w:pStyle w:val="ListParagraph"/>
        <w:numPr>
          <w:ilvl w:val="0"/>
          <w:numId w:val="2"/>
        </w:numPr>
        <w:spacing w:after="80" w:line="280"/>
      </w:pPr>
      <w:r>
        <w:rPr>
          <w:sz w:val="22"/>
          <w:szCs w:val="22"/>
        </w:rPr>
        <w:t xml:space="preserve">偏弱下行（主观权重中等，约三成；该权重是基于当前技术面与资金流的主观判断，不是统计概率）：价格区间约36.7~40.0元。触发条件包括跌破39.60~40.00元强支撑区，跌破时成交额持续高于近期均值且主力资金连续净流出，通信板块同步走弱或市场风险偏好明显下降，以及9月11日高换手形成的短线获利盘集中兑现。若跌破39.60元且不能快速收回，技术上可能向36.7~37.2元一带寻找支撑。</w:t>
      </w:r>
    </w:p>
    <w:p>
      <w:pPr>
        <w:pStyle w:val="ListParagraph"/>
        <w:numPr>
          <w:ilvl w:val="0"/>
          <w:numId w:val="2"/>
        </w:numPr>
        <w:spacing w:after="80" w:line="280"/>
      </w:pPr>
      <w:r>
        <w:rPr>
          <w:sz w:val="22"/>
          <w:szCs w:val="22"/>
        </w:rPr>
        <w:t xml:space="preserve">反弹走强（主观权重偏低至中等，约两成；该权重是基于当前技术面与资金流的主观判断，不是统计概率）：价格区间约42.7~45.0元。触发条件包括放量突破42.66~43.50元压力区，单日成交额保持在约60亿元以上且上涨过程中主力资金继续净流入，通信、光通信或CPO相关板块继续获得资金关注，并且突破后至少一个交易日没有明显冲高回落。若确认突破43.50元，短线可能向前期成交密集区及45元附近拓展，但RSI6已达66.1，突破过程仍可能伴随较大波动。</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14.13%，成交额为86.54亿元；近10个交易日成交额约31.54~86.54亿元，近10日平均约46.3亿元，近5日平均约56.0亿元，近期常态换手率约为6%~8%。当日成交额约为近10日均值的1.87倍，显示短线流动性充足，但筹码交换与多空分歧明显放大。股东结构方面，截至2026年6月30日，股东户数为349,282户，较2026年3月31日增加71,587户，环比增加25.78%；前十大流通股东持股约4.90亿股，占流通股本约33.51%，集中度被评价为“一般”。截至2026年3月31日，机构合计持股约5.63亿股，占流通盘38.49%，其中基金持股约10.44%、QFII持股约1.01%、其他机构持股约27.02%；该机构持股数据为一季度末快照，较当前交易日存在季度滞后，不能视为2026年9月实时仓位，且“其他机构”不能简单等同于长期公募配置。股东户数上升显示季度末筹码可能趋于分散，但不能据此直接证明机构减持或推导未来股价方向。实践上，当前订单和交易流动性并非低流动性小盘股水平，但在高波动阶段价格滑点仍可能快速扩大。控股股东质押方面，截至2026年8月7日，永鼎集团有限公司质押股份约1.47亿股，占公司总股本约10.02%，约占其持股的41.97%；质押不等于必然风险事件，但在高波动环境下仍需关注其潜在影响。</w:t>
      </w:r>
    </w:p>
    <w:p>
      <w:pPr>
        <w:spacing w:after="160" w:line="300"/>
      </w:pPr>
      <w:r>
        <w:rPr>
          <w:sz w:val="22"/>
          <w:szCs w:val="22"/>
        </w:rPr>
        <w:t xml:space="preserve">若后续股价尝试突破42.66~43.50元压力区时，单日成交额能够连续维持在60亿元以上，且主力资金持续净流入，可视为突破有效性有所增强；若价格上冲但成交额重新降至40亿元以下，或主力资金转为明显净流出，则需观察假突破风险。</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观察42.66~43.50元压力区能否放量突破，以及突破时主力资金是否继续净流入。</w:t>
      </w:r>
    </w:p>
    <w:p>
      <w:pPr>
        <w:pStyle w:val="ListParagraph"/>
        <w:numPr>
          <w:ilvl w:val="0"/>
          <w:numId w:val="2"/>
        </w:numPr>
        <w:spacing w:after="80" w:line="280"/>
      </w:pPr>
      <w:r>
        <w:rPr>
          <w:sz w:val="22"/>
          <w:szCs w:val="22"/>
        </w:rPr>
        <w:t xml:space="preserve">观察40.40~41.00元区域回踩时能否获得承接，成交额是否回落至近期常态区间。</w:t>
      </w:r>
    </w:p>
    <w:p>
      <w:pPr>
        <w:pStyle w:val="ListParagraph"/>
        <w:numPr>
          <w:ilvl w:val="0"/>
          <w:numId w:val="2"/>
        </w:numPr>
        <w:spacing w:after="80" w:line="280"/>
      </w:pPr>
      <w:r>
        <w:rPr>
          <w:sz w:val="22"/>
          <w:szCs w:val="22"/>
        </w:rPr>
        <w:t xml:space="preserve">观察39.60~40.00元强支撑是否有效；若跌破，可继续观察36.7~37.2元区域。</w:t>
      </w:r>
    </w:p>
    <w:p>
      <w:pPr>
        <w:pStyle w:val="ListParagraph"/>
        <w:numPr>
          <w:ilvl w:val="0"/>
          <w:numId w:val="2"/>
        </w:numPr>
        <w:spacing w:after="80" w:line="280"/>
      </w:pPr>
      <w:r>
        <w:rPr>
          <w:sz w:val="22"/>
          <w:szCs w:val="22"/>
        </w:rPr>
        <w:t xml:space="preserve">观察突破时成交额能否持续达到约60亿元以上，并与主力资金净流入同步。以上均为观察思路，非操作指令。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永鼎股份横跨光通信、汽车线束、海外电力工程、电线电缆及铜导体、高温超导和大数据应用等领域，主体仍是制造与工程服务业务。行业总体呈现传统中低端产品竞争激烈、高端产品和新技术需求增长的特征，但不同业务的客户结构、成本传导和盈利模式差异较大。</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光纤光缆行业具有技术和客户认证壁垒，运营商采购集中度高，招投标和集采对价格影响明显，普通光纤光缆存在同质化竞争；高端特种光纤、数据中心光纤和高速光器件盈利能力通常高于普通通信光缆。</w:t>
      </w:r>
    </w:p>
    <w:p>
      <w:pPr>
        <w:pStyle w:val="ListParagraph"/>
        <w:numPr>
          <w:ilvl w:val="0"/>
          <w:numId w:val="2"/>
        </w:numPr>
        <w:spacing w:after="80" w:line="280"/>
      </w:pPr>
      <w:r>
        <w:rPr>
          <w:sz w:val="22"/>
          <w:szCs w:val="22"/>
        </w:rPr>
        <w:t xml:space="preserve">2025年光通信行业呈现高端产品需求增长、中低端产品竞争激烈的结构，AI数据中心、算力网络、5G-A和千兆光网带来高端光纤、光模块及光器件需求，但传统运营商光缆市场仍受采购周期和价格竞争影响。</w:t>
      </w:r>
    </w:p>
    <w:p>
      <w:pPr>
        <w:pStyle w:val="ListParagraph"/>
        <w:numPr>
          <w:ilvl w:val="0"/>
          <w:numId w:val="2"/>
        </w:numPr>
        <w:spacing w:after="80" w:line="280"/>
      </w:pPr>
      <w:r>
        <w:rPr>
          <w:sz w:val="22"/>
          <w:szCs w:val="22"/>
        </w:rPr>
        <w:t xml:space="preserve">永鼎股份具备光棒、光纤、光缆、光芯片、光器件和数据应用的纵向布局，但与行业头部企业相比，整体规模、客户覆盖、研发投入和高端产品商业化规模仍存在差距。</w:t>
      </w:r>
    </w:p>
    <w:p>
      <w:pPr>
        <w:pStyle w:val="ListParagraph"/>
        <w:numPr>
          <w:ilvl w:val="0"/>
          <w:numId w:val="2"/>
        </w:numPr>
        <w:spacing w:after="80" w:line="280"/>
      </w:pPr>
      <w:r>
        <w:rPr>
          <w:sz w:val="22"/>
          <w:szCs w:val="22"/>
        </w:rPr>
        <w:t xml:space="preserve">汽车线束行业具有客户认证周期长、产品定制化程度高和车型生命周期明显等特点，主机厂对质量、交付、成本和年度降价要求较高。新能源汽车渗透率提升带动高压线束、电池包线束和轻量化线束需求，但新项目导入初期的设备、人工、良率和产能爬坡成本可能压低利润率。</w:t>
      </w:r>
    </w:p>
    <w:p>
      <w:pPr>
        <w:pStyle w:val="ListParagraph"/>
        <w:numPr>
          <w:ilvl w:val="0"/>
          <w:numId w:val="2"/>
        </w:numPr>
        <w:spacing w:after="80" w:line="280"/>
      </w:pPr>
      <w:r>
        <w:rPr>
          <w:sz w:val="22"/>
          <w:szCs w:val="22"/>
        </w:rPr>
        <w:t xml:space="preserve">高温超导行业仍处于从科研示范、项目验证向产业化应用过渡阶段，壁垒主要来自超导薄膜制备工艺、长距离带材稳定生产、临界电流指标、良率与成本控制、重大工程认证及系统集成能力。公司市场份额、成本优势和订单规模尚无法由公开信息确认。</w:t>
      </w:r>
    </w:p>
    <w:p>
      <w:pPr>
        <w:pStyle w:val="ListParagraph"/>
        <w:numPr>
          <w:ilvl w:val="0"/>
          <w:numId w:val="2"/>
        </w:numPr>
        <w:spacing w:after="80" w:line="280"/>
      </w:pPr>
      <w:r>
        <w:rPr>
          <w:sz w:val="22"/>
          <w:szCs w:val="22"/>
        </w:rPr>
        <w:t xml:space="preserve">海外电力工程受一带一路项目、电力基础设施投资和当地电网建设需求推动，但项目延期、政治和政策风险、汇率波动、材料及设备价格上涨、分包商履约和业主回款等因素使其盈利波动高于标准化制造业务。</w:t>
      </w:r>
    </w:p>
    <w:p>
      <w:pPr>
        <w:pStyle w:val="ListParagraph"/>
        <w:numPr>
          <w:ilvl w:val="0"/>
          <w:numId w:val="2"/>
        </w:numPr>
        <w:spacing w:after="80" w:line="280"/>
      </w:pPr>
      <w:r>
        <w:rPr>
          <w:sz w:val="22"/>
          <w:szCs w:val="22"/>
        </w:rPr>
        <w:t xml:space="preserve">2025年公司光通信毛利率提升，但汽车线束和电力工程毛利率下降，说明收入增长并不必然转化为利润同步增长；2025年归母净利润还受到联营企业权益法投资收益增加影响。</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亨通光电（600487）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光纤、光缆、通信网络、电力电缆、海洋工程和能源互联等综合型企业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光通信和电力传输业务规模明显大于永鼎股份，是光纤光缆和电力线缆领域重要综合型可比公司</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中天科技（600522）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光纤光缆、电力电缆、海缆、海洋工程、新能源及通信设备</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产业链较完整、规模和业务多元化程度较高，在光通信和电力传输方向与永鼎股份具有较高可比性</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烽火通信（600498）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光通信设备、光纤光缆、光接入网设备和通信系统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更偏通信设备和系统集成；永鼎股份更偏线缆制造，并向光芯片和器件延伸</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特发信息（000070）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光纤光缆、通信设备、电子元器件及数据中心相关业务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与永鼎股份在光通信线缆、器件和通信基础设施市场存在产品重叠</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长飞光纤（601869）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光纤预制棒、光纤、光缆及相关器件</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光纤预制棒和光纤光缆行业重要龙头，在光棒、光纤技术及全球化规模方面优势更明显</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昆山沪光（605333）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汽车线束</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汽车线束业务直接可比公司之一</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德尔福派克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汽车线束及相关汽车零部件</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汽车线束业务直接可比公司之一</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莱尼电气</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汽车线束及相关汽车零部件</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汽车线束业务直接可比公司之一</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天海电器、长春三智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汽车线束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汽车线束业务可比企业；纪要未提供其具体经营数据</w:t>
            </w:r>
          </w:p>
        </w:tc>
      </w:tr>
    </w:tbl>
    <w:p>
      <w:pPr>
        <w:spacing w:before="200"/>
      </w:pPr>
    </w:p>
    <w:p>
      <w:pPr>
        <w:spacing w:after="160" w:line="300"/>
      </w:pPr>
      <w:r>
        <w:rPr>
          <w:sz w:val="22"/>
          <w:szCs w:val="22"/>
        </w:rPr>
        <w:t xml:space="preserve">永鼎股份与亨通光电、中天科技在光纤光缆、电力电缆和通信基础设施领域具有较高可比性，但后两者整体规模、业务多元化程度或产业链完整度更高；与烽火通信相比，永鼎股份更偏线缆制造，烽火通信更偏通信设备和系统集成；与长飞光纤相比，永鼎股份业务更综合，但在光棒、光纤技术及全球化规模方面存在差距。汽车线束方面，永鼎股份与昆山沪光、德尔福派克、莱尼电气、天海电器和长春三智等存在直接或部分业务重合。上述公司并非在全部业务线上直接竞争，行业分类和可比关系主要按业务重合度划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光通信业务增长和盈利持续性存在不确定性。2026年上半年光通信收入同比增长199.82%，但公司仍面临运营商集采节奏、招投标价格竞争及普通光缆同质化竞争；若高端产品需求或订单交付不及预期，当前业绩和估值预期可能受到影响。</w:t>
      </w:r>
    </w:p>
    <w:p>
      <w:pPr>
        <w:pStyle w:val="ListParagraph"/>
        <w:numPr>
          <w:ilvl w:val="0"/>
          <w:numId w:val="2"/>
        </w:numPr>
        <w:spacing w:after="80" w:line="280"/>
      </w:pPr>
      <w:r>
        <w:rPr>
          <w:sz w:val="22"/>
          <w:szCs w:val="22"/>
        </w:rPr>
        <w:t xml:space="preserve">大功率激光器芯片订单存在兑现风险。苏州鼎芯披露的两笔订单合计约11.33亿元，但客户名称、产品型号、毛利率、分批交付安排尚未披露，且交付期延续至2027年末及2028年初，订单不能直接转化为当期收入或净利润，实际执行还取决于客户验收和产能保障。</w:t>
      </w:r>
    </w:p>
    <w:p>
      <w:pPr>
        <w:pStyle w:val="ListParagraph"/>
        <w:numPr>
          <w:ilvl w:val="0"/>
          <w:numId w:val="2"/>
        </w:numPr>
        <w:spacing w:after="80" w:line="280"/>
      </w:pPr>
      <w:r>
        <w:rPr>
          <w:sz w:val="22"/>
          <w:szCs w:val="22"/>
        </w:rPr>
        <w:t xml:space="preserve">公司当前估值对未来业绩释放依赖较高。截至2026年9月11日，股价约42.20元，TTM市盈率约147倍、市净率约16.95倍；机构平均预测2026年归母净利润约11.20亿元，而上半年已实现5.03亿元，全年预测对下半年利润兑现要求较高，若光通信或光芯片业务放量低于预期，估值波动可能加剧。</w:t>
      </w:r>
    </w:p>
    <w:p>
      <w:pPr>
        <w:pStyle w:val="ListParagraph"/>
        <w:numPr>
          <w:ilvl w:val="0"/>
          <w:numId w:val="2"/>
        </w:numPr>
        <w:spacing w:after="80" w:line="280"/>
      </w:pPr>
      <w:r>
        <w:rPr>
          <w:sz w:val="22"/>
          <w:szCs w:val="22"/>
        </w:rPr>
        <w:t xml:space="preserve">汽车线束业务存在项目爬坡和客户议价风险。2025年该业务收入18.75亿元但毛利率降至11.73%，公司披露新承接项目处于前期爬坡阶段，设备、人工、良率和产能成本较高；同时主机厂及大型零部件客户具有较强议价能力，年度降价和成本传导不足可能继续压缩利润。</w:t>
      </w:r>
    </w:p>
    <w:p>
      <w:pPr>
        <w:pStyle w:val="ListParagraph"/>
        <w:numPr>
          <w:ilvl w:val="0"/>
          <w:numId w:val="2"/>
        </w:numPr>
        <w:spacing w:after="80" w:line="280"/>
      </w:pPr>
      <w:r>
        <w:rPr>
          <w:sz w:val="22"/>
          <w:szCs w:val="22"/>
        </w:rPr>
        <w:t xml:space="preserve">海外电力工程盈利波动较大。2025年电力工程毛利率降至9.05%，业务受到项目延期、材料涨价、分包成本上升和汇率波动影响；该业务还涉及业主付款、当地政治经济环境及分包商履约，结算延迟或成本超支可能进一步影响利润和现金流。</w:t>
      </w:r>
    </w:p>
    <w:p>
      <w:pPr>
        <w:pStyle w:val="ListParagraph"/>
        <w:numPr>
          <w:ilvl w:val="0"/>
          <w:numId w:val="2"/>
        </w:numPr>
        <w:spacing w:after="80" w:line="280"/>
      </w:pPr>
      <w:r>
        <w:rPr>
          <w:sz w:val="22"/>
          <w:szCs w:val="22"/>
        </w:rPr>
        <w:t xml:space="preserve">原材料价格和营运资金占用可能侵蚀利润。汽车线束原材料成本占该板块成本74.76%，超导及铜导体原材料成本占该板块成本91.95%；截至2025年末，应收账款14.60亿元、存货8.99亿元且同比增长36.89%，合同资产1.60亿元且同比增长33.60%，铜价、材料价格或回款变化可能放大现金流压力。</w:t>
      </w:r>
    </w:p>
    <w:p>
      <w:pPr>
        <w:pStyle w:val="ListParagraph"/>
        <w:numPr>
          <w:ilvl w:val="0"/>
          <w:numId w:val="2"/>
        </w:numPr>
        <w:spacing w:after="80" w:line="280"/>
      </w:pPr>
      <w:r>
        <w:rPr>
          <w:sz w:val="22"/>
          <w:szCs w:val="22"/>
        </w:rPr>
        <w:t xml:space="preserve">公司杠杆、担保及控股股东质押需要持续关注。截至2026年上半年资产负债率约62.43%；截至2026年9月12日实际对外担保总额28.91亿元，占2025年末净资产91.01%，且新增担保均为连带责任保证、公告披露无反担保；控股股东累计质押股份占公司总股本10.02%，在股价高波动环境下可能增加融资和信用风险。</w:t>
      </w:r>
    </w:p>
    <w:p>
      <w:pPr>
        <w:pStyle w:val="ListParagraph"/>
        <w:numPr>
          <w:ilvl w:val="0"/>
          <w:numId w:val="2"/>
        </w:numPr>
        <w:spacing w:after="80" w:line="280"/>
      </w:pPr>
      <w:r>
        <w:rPr>
          <w:sz w:val="22"/>
          <w:szCs w:val="22"/>
        </w:rPr>
        <w:t xml:space="preserve">股价短期波动和交易拥挤风险较高。2026年9月11日成交额86.54亿元、换手率14.13%，股价接近42.66—43.50元压力区，近10个交易日资金流入流出交替；若突破压力区时量能不足，或跌破39.60—40.00元支撑区，可能出现较大幅度回撤。</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增长逻辑主要集中在光通信业务景气度提升、产品结构优化及光芯片订单落地。2026年上半年光通信收入快速增长并带动整体毛利率改善，若高端光通信产品、光芯片订单能够按计划交付，且毛利率保持改善，业绩有望继续扩张；汽车线束则需要依靠新项目完成产能、良率和规模爬坡，超导业务需要进一步验证产业化和商业化进度。</w:t>
      </w:r>
    </w:p>
    <w:p>
      <w:pPr>
        <w:spacing w:after="160" w:line="300"/>
      </w:pPr>
      <w:r>
        <w:rPr>
          <w:sz w:val="22"/>
          <w:szCs w:val="22"/>
        </w:rPr>
        <w:t xml:space="preserve">机构平均预测2026—2028年归母净利润分别约为11.20亿元、27.84亿元和35.39亿元，但预测区间差异较大，且2026年全年预测意味着下半年仍需实现约5亿—8亿元净利润，兑现程度较大程度取决于光通信高景气延续、光纤及光芯片订单交付和利润率改善。公司目前估值较高，未来业绩增长需要持续超过市场预期，才能逐步消化估值压力。</w:t>
      </w:r>
    </w:p>
    <w:p>
      <w:pPr>
        <w:spacing w:after="160" w:line="300"/>
      </w:pPr>
      <w:r>
        <w:rPr>
          <w:sz w:val="22"/>
          <w:szCs w:val="22"/>
        </w:rPr>
        <w:t xml:space="preserve">展望后续，应重点观察光通信收入及毛利率是否保持增长、11.33亿元激光器芯片订单的实际交付与盈利贡献、汽车线束项目爬坡后的利润修复，以及海外电力工程的结算和现金回收。同时，公司资产负债率约62.43%，实际对外担保总额达到2025年末净资产的91.01%，在扩产、订单兑现和营运资金占用增加的情况下，财务杠杆与现金流管理的重要性上升。</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永鼎股份(600105)_公司公告_永鼎股份：2026年半年度报告新浪财经_新浪网 — https://money.finance.sina.com.cn/corp/view/vCB_AllBulletinDetail.php?id=12505469&amp;stockid=600105</w:t>
      </w:r>
    </w:p>
    <w:p>
      <w:pPr>
        <w:spacing w:after="200"/>
      </w:pPr>
      <w:r>
        <w:rPr>
          <w:i/>
          <w:iCs/>
          <w:color w:val="595959"/>
          <w:sz w:val="18"/>
          <w:szCs w:val="18"/>
        </w:rPr>
        <w:t xml:space="preserve">江苏永鼎股份有限公司2026年半年度报告摘要|上海证券报 — https://paper.cnstock.com/html/2026-08/20/content_2256792.htm?utm_source=openai</w:t>
      </w:r>
    </w:p>
    <w:p>
      <w:pPr>
        <w:spacing w:after="200"/>
      </w:pPr>
      <w:r>
        <w:rPr>
          <w:i/>
          <w:iCs/>
          <w:color w:val="595959"/>
          <w:sz w:val="18"/>
          <w:szCs w:val="18"/>
        </w:rPr>
        <w:t xml:space="preserve">Reportify - 金融投资智能体 — https://reportify.cn/reports?page=11&amp;report_region=&amp;report_types=7%2C8%2C9%2C10%2C11%2C16%2C19%2C20%2C21%2C22%2C23%2C24%2C25&amp;utm_source=openai</w:t>
      </w:r>
    </w:p>
    <w:p>
      <w:pPr>
        <w:spacing w:after="200"/>
      </w:pPr>
      <w:r>
        <w:rPr>
          <w:i/>
          <w:iCs/>
          <w:color w:val="595959"/>
          <w:sz w:val="18"/>
          <w:szCs w:val="18"/>
        </w:rPr>
        <w:t xml:space="preserve">永鼎股份(600105)：26H1业绩快速增长 光通信景气持续向上__新浪财经_新浪网 — https://stock.finance.sina.com.cn/stock/go.php/vReport_Show/kind/search/rptid/840559677134/index.phtml</w:t>
      </w:r>
    </w:p>
    <w:p>
      <w:pPr>
        <w:spacing w:after="200"/>
      </w:pPr>
      <w:r>
        <w:rPr>
          <w:i/>
          <w:iCs/>
          <w:color w:val="595959"/>
          <w:sz w:val="18"/>
          <w:szCs w:val="18"/>
        </w:rPr>
        <w:t xml:space="preserve">永鼎股份(600105) 盈利预测_F10_同花顺金融服务网 — https://basic.10jqka.com.cn/600105/worth.html</w:t>
      </w:r>
    </w:p>
    <w:p>
      <w:pPr>
        <w:spacing w:after="200"/>
      </w:pPr>
      <w:r>
        <w:rPr>
          <w:i/>
          <w:iCs/>
          <w:color w:val="595959"/>
          <w:sz w:val="18"/>
          <w:szCs w:val="18"/>
        </w:rPr>
        <w:t xml:space="preserve">永鼎股份(600105) 盈利预测_F10_同花顺金融服务网 — https://basic.10jqka.com.cn/600105/worth.html?utm_source=openai</w:t>
      </w:r>
    </w:p>
    <w:p>
      <w:pPr>
        <w:spacing w:after="200"/>
      </w:pPr>
      <w:r>
        <w:rPr>
          <w:i/>
          <w:iCs/>
          <w:color w:val="595959"/>
          <w:sz w:val="18"/>
          <w:szCs w:val="18"/>
        </w:rPr>
        <w:t xml:space="preserve">太平洋：首次覆盖永鼎股份给予买入评级_券商研报_数据解析_股票_证券之星 — https://4g.stockstar.com/detail/RB2026091100015169?utm_source=openai</w:t>
      </w:r>
    </w:p>
    <w:p>
      <w:pPr>
        <w:spacing w:after="200"/>
      </w:pPr>
      <w:r>
        <w:rPr>
          <w:i/>
          <w:iCs/>
          <w:color w:val="595959"/>
          <w:sz w:val="18"/>
          <w:szCs w:val="18"/>
        </w:rPr>
        <w:t xml:space="preserve">永鼎股份(600105) 盈利预测_F10_同花顺金融服务网 — https://basic.10jqka.com.cn/144/600105/worth.html</w:t>
      </w:r>
    </w:p>
    <w:p>
      <w:pPr>
        <w:spacing w:after="200"/>
      </w:pPr>
      <w:r>
        <w:rPr>
          <w:i/>
          <w:iCs/>
          <w:color w:val="595959"/>
          <w:sz w:val="18"/>
          <w:szCs w:val="18"/>
        </w:rPr>
        <w:t xml:space="preserve">永鼎股份(600105)个股分析_牛叉诊股_同花顺财经 — https://doctor.10jqka.com.cn/600105/</w:t>
      </w:r>
    </w:p>
    <w:p>
      <w:pPr>
        <w:spacing w:after="200"/>
      </w:pPr>
      <w:r>
        <w:rPr>
          <w:i/>
          <w:iCs/>
          <w:color w:val="595959"/>
          <w:sz w:val="18"/>
          <w:szCs w:val="18"/>
        </w:rPr>
        <w:t xml:space="preserve">永鼎股份(600105)股票最新价格行情,实时走势图,股价分析预测_英为财情Investing.com — https://cn.investing.com/equities/jiang-su-etern?utm_source=openai</w:t>
      </w:r>
    </w:p>
    <w:p>
      <w:pPr>
        <w:spacing w:after="200"/>
      </w:pPr>
      <w:r>
        <w:rPr>
          <w:i/>
          <w:iCs/>
          <w:color w:val="595959"/>
          <w:sz w:val="18"/>
          <w:szCs w:val="18"/>
        </w:rPr>
        <w:t xml:space="preserve">永鼎股份(600105)_股票行情，行情首页_中财网 — https://data.cfi.cn/quote946_600105.html?utm_source=openai</w:t>
      </w:r>
    </w:p>
    <w:p>
      <w:pPr>
        <w:spacing w:after="200"/>
      </w:pPr>
      <w:r>
        <w:rPr>
          <w:i/>
          <w:iCs/>
          <w:color w:val="595959"/>
          <w:sz w:val="18"/>
          <w:szCs w:val="18"/>
        </w:rPr>
        <w:t xml:space="preserve">上海证券交易所主板上市公司列表 — https://zh.wikipedia.org/wiki/%E4%B8%8A%E6%B5%B7%E8%AF%81%E5%88%B8%E4%BA%A4%E6%98%93%E6%89%80%E4%B8%BB%E6%9D%BF%E4%B8%8A%E5%B8%82%E5%85%AC%E5%8F%B8%E5%88%97%E8%A1%A8?utm_source=openai</w:t>
      </w:r>
    </w:p>
    <w:p>
      <w:pPr>
        <w:spacing w:after="200"/>
      </w:pPr>
      <w:r>
        <w:rPr>
          <w:i/>
          <w:iCs/>
          <w:color w:val="595959"/>
          <w:sz w:val="18"/>
          <w:szCs w:val="18"/>
        </w:rPr>
        <w:t xml:space="preserve">公司公告_永鼎股份：2026年半年度业绩预增公告新浪财经_新浪网 — https://money.finance.sina.com.cn/corp/view/vCB_AllBulletinDetail.php?id=12431766&amp;stockid=&amp;utm_source=openai</w:t>
      </w:r>
    </w:p>
    <w:p>
      <w:pPr>
        <w:spacing w:after="200"/>
      </w:pPr>
      <w:r>
        <w:rPr>
          <w:i/>
          <w:iCs/>
          <w:color w:val="595959"/>
          <w:sz w:val="18"/>
          <w:szCs w:val="18"/>
        </w:rPr>
        <w:t xml:space="preserve">永鼎股份(600105)_公司公告_永鼎股份：2026年半年度报告新浪财经_新浪网 — https://money.finance.sina.com.cn/corp/view/vCB_AllBulletinDetail.php?id=12505469&amp;stockid=600105&amp;utm_source=openai</w:t>
      </w:r>
    </w:p>
    <w:p>
      <w:pPr>
        <w:spacing w:after="200"/>
      </w:pPr>
      <w:r>
        <w:rPr>
          <w:i/>
          <w:iCs/>
          <w:color w:val="595959"/>
          <w:sz w:val="18"/>
          <w:szCs w:val="18"/>
        </w:rPr>
        <w:t xml:space="preserve">永鼎股份(600105)_公司公告_永鼎股份：2026年第一次临时股东会会议资料新浪财经_新浪网 — https://money.finance.sina.com.cn/corp/view/vCB_AllBulletinDetail.php?id=12584499&amp;stockid=600105&amp;utm_source=openai</w:t>
      </w:r>
    </w:p>
    <w:p>
      <w:pPr>
        <w:spacing w:after="200"/>
      </w:pPr>
      <w:r>
        <w:rPr>
          <w:i/>
          <w:iCs/>
          <w:color w:val="595959"/>
          <w:sz w:val="18"/>
          <w:szCs w:val="18"/>
        </w:rPr>
        <w:t xml:space="preserve">永鼎股份: 永鼎股份关于控股子公司签订日常经营性重大订单的自愿性披露公告_股票频道_证券之星 — https://stock.stockstar.com/notice/SN2026072900036394.shtml?utm_source=openai</w:t>
      </w:r>
    </w:p>
    <w:p>
      <w:pPr>
        <w:spacing w:after="200"/>
      </w:pPr>
      <w:r>
        <w:rPr>
          <w:i/>
          <w:iCs/>
          <w:color w:val="595959"/>
          <w:sz w:val="18"/>
          <w:szCs w:val="18"/>
        </w:rPr>
        <w:t xml:space="preserve">公司公告_永鼎股份：关于控股股东部分股权解除质押及再质押的公告新浪财经_新浪网 — https://vip.stock.finance.sina.com.cn/corp/view/vCB_AllBulletinDetail.php?id=12468310&amp;utm_source=openai</w:t>
      </w:r>
    </w:p>
    <w:p>
      <w:pPr>
        <w:spacing w:after="200"/>
      </w:pPr>
      <w:r>
        <w:rPr>
          <w:i/>
          <w:iCs/>
          <w:color w:val="595959"/>
          <w:sz w:val="18"/>
          <w:szCs w:val="18"/>
        </w:rPr>
        <w:t xml:space="preserve">&lt;table id="e1"&gt; — https://static.cninfo.com.cn/finalpage/2026-06-02/1225342202.PDF?utm_source=openai</w:t>
      </w:r>
    </w:p>
    <w:p>
      <w:pPr>
        <w:spacing w:after="200"/>
      </w:pPr>
      <w:r>
        <w:rPr>
          <w:i/>
          <w:iCs/>
          <w:color w:val="595959"/>
          <w:sz w:val="18"/>
          <w:szCs w:val="18"/>
        </w:rPr>
        <w:t xml:space="preserve">公司公告_永鼎股份：股票交易异常波动公告新浪财经_新浪网 — https://vip.stock.finance.sina.com.cn/corp/view/vCB_AllBulletinDetail.php?id=12480566&amp;utm_source=openai</w:t>
      </w:r>
    </w:p>
    <w:p>
      <w:pPr>
        <w:spacing w:after="200"/>
      </w:pPr>
      <w:r>
        <w:rPr>
          <w:i/>
          <w:iCs/>
          <w:color w:val="595959"/>
          <w:sz w:val="18"/>
          <w:szCs w:val="18"/>
        </w:rPr>
        <w:t xml:space="preserve">永鼎股份(600105)_公司公告_永鼎股份：关于为子公司申请年度银行授信提供担保的进展公告新浪财经_新浪网 — https://money.finance.sina.com.cn/corp/view/vCB_AllBulletinDetail.php?id=12596474&amp;stockid=600105&amp;utm_source=openai</w:t>
      </w:r>
    </w:p>
    <w:p>
      <w:pPr>
        <w:spacing w:after="200"/>
      </w:pPr>
      <w:r>
        <w:rPr>
          <w:i/>
          <w:iCs/>
          <w:color w:val="595959"/>
          <w:sz w:val="18"/>
          <w:szCs w:val="18"/>
        </w:rPr>
        <w:t xml:space="preserve">永鼎股份 sh600105 的股票股价,行情,直播,新闻,财报,数据 - 爱股票 — https://stock.aigupiao.com/code/sh600105?utm_source=openai</w:t>
      </w:r>
    </w:p>
    <w:p>
      <w:pPr>
        <w:spacing w:after="200"/>
      </w:pPr>
      <w:r>
        <w:rPr>
          <w:i/>
          <w:iCs/>
          <w:color w:val="595959"/>
          <w:sz w:val="18"/>
          <w:szCs w:val="18"/>
        </w:rPr>
        <w:t xml:space="preserve">永鼎股份(600105.SH) 股票行情_历史数据_主力资金 - 大波浪数据 — https://www.yyqyx.com/s/600105.SH</w:t>
      </w:r>
    </w:p>
    <w:p>
      <w:pPr>
        <w:spacing w:after="200"/>
      </w:pPr>
      <w:r>
        <w:rPr>
          <w:i/>
          <w:iCs/>
          <w:color w:val="595959"/>
          <w:sz w:val="18"/>
          <w:szCs w:val="18"/>
        </w:rPr>
        <w:t xml:space="preserve">永鼎股份(600105) 个股详情 | 大盘宝 — https://www.dapanbao.com/stock/600105/?utm_source=openai</w:t>
      </w:r>
    </w:p>
    <w:p>
      <w:pPr>
        <w:spacing w:after="200"/>
      </w:pPr>
      <w:r>
        <w:rPr>
          <w:i/>
          <w:iCs/>
          <w:color w:val="595959"/>
          <w:sz w:val="18"/>
          <w:szCs w:val="18"/>
        </w:rPr>
        <w:t xml:space="preserve">永鼎股份（截止2026年6月30日）股东人数为349282户 环比增加25.78% — https://news.10jqka.com.cn/20260819/c679089974.shtml?utm_source=openai</w:t>
      </w:r>
    </w:p>
    <w:p>
      <w:pPr>
        <w:spacing w:after="200"/>
      </w:pPr>
      <w:r>
        <w:rPr>
          <w:i/>
          <w:iCs/>
          <w:color w:val="595959"/>
          <w:sz w:val="18"/>
          <w:szCs w:val="18"/>
        </w:rPr>
        <w:t xml:space="preserve">永鼎股份(600105) 最新动态_F10_同花顺金融服务网 — https://basic.10jqka.com.cn/600105/index.html?utm_source=openai</w:t>
      </w:r>
    </w:p>
    <w:p>
      <w:pPr>
        <w:spacing w:after="200"/>
      </w:pPr>
      <w:r>
        <w:rPr>
          <w:i/>
          <w:iCs/>
          <w:color w:val="595959"/>
          <w:sz w:val="18"/>
          <w:szCs w:val="18"/>
        </w:rPr>
        <w:t xml:space="preserve">永鼎股份(600105) 最新动态_F10_同花顺金融服务网 — https://basic.10jqka.com.cn/600105/index.html</w:t>
      </w:r>
    </w:p>
    <w:p>
      <w:pPr>
        <w:spacing w:after="200"/>
      </w:pPr>
      <w:r>
        <w:rPr>
          <w:i/>
          <w:iCs/>
          <w:color w:val="595959"/>
          <w:sz w:val="18"/>
          <w:szCs w:val="18"/>
        </w:rPr>
        <w:t xml:space="preserve">本报告由AI基于公开渠道信息自动检索、整理并生成，信息截至 截至2026年9月11日收盘；技术指标采用日线、不复权收盘价口径，部分平台因计算时点或口径不同存在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2026-09-13T12:59:46.689Z</dcterms:created>
  <dcterms:modified xsi:type="dcterms:W3CDTF">2026-09-13T12:59:46.689Z</dcterms:modified>
</cp:coreProperties>
</file>

<file path=docProps/custom.xml><?xml version="1.0" encoding="utf-8"?>
<Properties xmlns="http://schemas.openxmlformats.org/officeDocument/2006/custom-properties" xmlns:vt="http://schemas.openxmlformats.org/officeDocument/2006/docPropsVTypes"/>
</file>