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中国北方稀土（集团）高科技股份有限公司 (600111)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行业：稀土冶炼分离与新材料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报告日期：2026年10月2日</w:t>
      </w:r>
    </w:p>
    <w:p>
      <w:pPr>
        <w:jc w:val="center"/>
      </w:pPr>
      <w:r>
        <w:rPr>
          <w:color w:val="595959"/>
          <w:sz w:val="20"/>
          <w:szCs w:val="20"/>
        </w:rPr>
        <w:t xml:space="preserve">行情截至2026-09-30收盘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核心结论：业绩强劲反弹且估值处历史中低位，持续性仍取决于稀土价格与利润率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收盘价（当日涨跌幅）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35.30元（-0.31%）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约1276.12亿元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37.83倍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4.86倍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35.05～63.44元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成交额/换手率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7.65亿元／0.60%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行情数据截至：2026-09-30收盘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利润反弹已在中报兑现</w:t>
      </w:r>
      <w:r>
        <w:rPr>
          <w:sz w:val="22"/>
          <w:szCs w:val="22"/>
        </w:rPr>
        <w:t xml:space="preserve">：2026年上半年营收257.99亿元、同比增长36.75%；归母净利润20.53亿元、增长120.46%，扣非净利润增长128.79%。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价格与销量共同驱动增长</w:t>
      </w:r>
      <w:r>
        <w:rPr>
          <w:sz w:val="22"/>
          <w:szCs w:val="22"/>
        </w:rPr>
        <w:t xml:space="preserve">：稀土价格上行、主要产品产销量增长；2025年工业业务收入增长36.35%，但原料占工业成本83.14%，贸易业务毛利率仅1.92%。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估值不高但仍需增长兑现</w:t>
      </w:r>
      <w:r>
        <w:rPr>
          <w:sz w:val="22"/>
          <w:szCs w:val="22"/>
        </w:rPr>
        <w:t xml:space="preserve">：9月30日收盘35.30元，PE-TTM 37.83倍、PB-MRQ 4.86倍；机构一致预期2026年净利45.14亿元、增长100.52%。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：37.83倍PE对应的市场隐含每股收益年均增速约18.5%（年化回报8%、10年后按15倍PE）；低于一致预期2026年增长100.52%、2027年25.23%，接近2028年19.21%。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：上半年利润增长、毛利率升至15.03%，支持近期高增长预期；但隐含增速是长期假设，能否延续仍取决于稀土价格和成本传导。经营现金流/净利润为0.48，利润兑现质量也待改善。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证据倾向：偏多；置信度：高（8家机构覆盖、行情与财报数字经程序核对）</w:t>
      </w:r>
    </w:p>
    <w:p>
      <w:pPr>
        <w:spacing w:after="160" w:line="300"/>
      </w:pPr>
      <w:r>
        <w:rPr>
          <w:sz w:val="22"/>
          <w:szCs w:val="22"/>
        </w:rPr>
        <w:t xml:space="preserve">中报高增长与历史中低估值构成支撑，但利润对稀土价格敏感，现金流转化偏弱。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向工业客户销售稀土原料、深加工产品及部分应用产品，并经营贸易和环保业务，盈利受稀土价格、原料成本与产品结构影响。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工业业务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77.7%（2025年）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13.84%（2025年）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36.35%（2025年）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含稀土产品、新材料、应用产品及其他产品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商业/贸易业务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18.3%（2025年）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1.92%（2025年）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10.53%（2025年）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收入占比较高但毛利薄，稀释整体盈利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环保板块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3.5%（2025年）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23.44%（2025年）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-1.10%（2025年）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收入规模较小，毛利率高于工业业务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产业链规模与协同：覆盖原料、分离、金属、新材料及部分应用；2025年工业收入330.87亿元。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资源保障与政策指标：依托包钢集团白云鄂博资源体系，但上市公司核心精矿仍向包钢股份采购。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生产规模：2024年ESG报告披露冶炼分离产能20万吨以上/年，非2025年实际产量。</w:t>
      </w:r>
    </w:p>
    <w:p>
      <w:pPr>
        <w:spacing w:after="160" w:line="300"/>
      </w:pPr>
      <w:r>
        <w:rPr>
          <w:sz w:val="22"/>
          <w:szCs w:val="22"/>
        </w:rPr>
        <w:t xml:space="preserve">主要威胁：精矿采购集中且按协议公式定价，稀土价格下行、库存减值及薄利贸易可能压缩利润；规模尚未转化为稳定高毛利。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核心投入为稀土精矿；2025年向包钢股份采购94.17亿元（含税），占同类采购100%，定价为协议价。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2025年工业成本中原料成本约237.03亿元，占工业成本83.14%；精矿价格自2023年4月起按既定公式每季度调整，公司并非完全自主定价。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产品涵盖稀土盐类、氧化物、金属、磁性及抛光等材料和部分永磁电机应用产品；年报未披露前五大客户名称。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产品价格受市场行情与政策供给影响，规模和产业链协同可影响排产及产品组合，但不能据此认定公司可单方面定价。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2025年年报：前五大客户销售占比32.80%，关联方销售为0；客户以编号列示。前五大供应商占采购44.71%，包钢股份占稀土精矿同类采购100%。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2025年末应收39.10亿元，约为全年收入9.2%、归母净利润1.74倍；按年末余额粗算约31天收入。存货170.69亿元，约为收入40.1%、约167天成本；预付款2.49亿元，同比下降49.01%。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2021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约27.84%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约18.45%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稀土价格走强、销量增加，盈利处于高位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约27.79%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约17.06%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高毛利率延续，净利率小幅回落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约14.62%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约7.83%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主要稀土产品价格震荡下行、均价同比降低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约10.25%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约4.82%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收入下降，价格环境及减值损失令盈利承压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约12.21%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约6.72%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市场价格上行、主要产品产销量增长，利润率回升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公司处于资源保障、规模化分离加工与部分新材料应用相结合的中游偏上游位置，利润改善首先取决于稀土价格、精矿成本传导和库存管理，其次取决于高毛利新材料及终端应用占比提升。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稀土行业盈利对价格周期与供给政策敏感。2025年市场价格整体上行，公司主要稀土产品收入增长、毛利率回升，但整体毛利率仍低于2021—2022年。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盛和资源（600392）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稀土矿选、分离及加工，兼有锆钛业务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2025年收入149.91亿元；稀土产品毛利率11.12%；PE(TTM) 26.21倍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同属稀土产业链，北方稀土收入规模更大、原料关联度更高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中国稀土（000831）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南方稀土业务平台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2025年收入31.82亿元；稀土业务毛利率16.65%；PE(TTM) 225.8倍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收入规模较小，业务与资源结构不同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厦门钨业（600549）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钨钼及电池材料为主，兼有稀土业务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2025年收入约462.65亿元；稀土业务毛利率10.08%；PE(TTM) 19.78倍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合并收入含钨钼和电池材料，稀土仅为一个板块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金力永磁（300748）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下游钕铁硼磁材加工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2025年收入77.18亿元；综合毛利率21.18%；PE(TTM) 38.61倍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处于下游磁材环节，产品加工与客户组合不同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北方稀土收入规模较大，具备原料保障与产业链覆盖优势；但2025年整体毛利率约12.21%，贸易业务毛利率仅1.92%，规模尚未转化为高利润率。金力永磁处于下游材料环节，毛利率不可与资源平台简单类比。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扣非同比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2026年中报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257.99亿元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+36.75%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20.53亿元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+120.46%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+128.79%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15.03%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2025年报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425.63亿元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+29.11%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22.51亿元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+124.17%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+128.10%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12.21%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2024年报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329.66亿元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-1.58%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10.04亿元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-57.64%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-61.12%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10.25%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金额为人民币；截至2026年中报，另列2025及2024年报。</w:t>
      </w:r>
    </w:p>
    <w:p>
      <w:pPr>
        <w:spacing w:after="160" w:line="300"/>
      </w:pPr>
      <w:r>
        <w:rPr>
          <w:sz w:val="22"/>
          <w:szCs w:val="22"/>
        </w:rPr>
        <w:t xml:space="preserve">稀土产品价格走强、主要产品销量增加，支撑收入和利润增长；上半年归母与扣非增速接近。中报所在单季度利润同比增速进一步加快。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加权ROE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8.02%（2026中报）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盈利能力改善，回报水平仍有提升空间。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36.98%（2026中报）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负债率适中，偿债结构整体稳健。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经营现金流净额/净利润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0.48（2026中报）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现金流转化低于净利润，但较上年改善。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应收账款周转天数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32.6天（2026中报）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周转较快；公司报告期末应收账款较年初增加。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存货周转天数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143.6天（2026中报）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周转天数较2025年末下降，库存占用仍需跟踪。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利息保障倍数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29.7倍（2026中报）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利息保障能力较强。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37.83倍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近5.2年38%分位（中位数45.38倍）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中位数32.41倍（盛和资源26.21、中国稀土225.80、厦门钨业19.78、金力永磁38.61）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4.86倍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近5.2年45%分位（中位数5.24倍）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中位数4.05倍（盛和资源2.71、中国稀土11.05、厦门钨业3.75、金力永磁4.36）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2.58倍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近5.2年33%分位（中位数2.88倍）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中位数2.88倍（盛和资源2.01、中国稀土18.95、厦门钨业1.13、金力永磁3.76）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0.37%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估值倍数由程序按2026-09-30收盘数据计算（滚动十二个月口径）；同行倍数按2026-09-30收盘数据同口径计算</w:t>
      </w:r>
    </w:p>
    <w:p>
      <w:pPr>
        <w:spacing w:after="160" w:line="300"/>
      </w:pPr>
      <w:r>
        <w:rPr>
          <w:sz w:val="22"/>
          <w:szCs w:val="22"/>
        </w:rPr>
        <w:t xml:space="preserve">市场隐含预期：以当前37.83倍市盈率计，若投资者要求年化8%的回报、10年后按15倍市盈率估值，每股收益需年均增长约18.5%（不计分红，偏保守），可与下方机构预测增速对照。</w:t>
      </w:r>
    </w:p>
    <w:p>
      <w:pPr>
        <w:spacing w:after="160" w:line="300"/>
      </w:pPr>
      <w:r>
        <w:rPr>
          <w:sz w:val="22"/>
          <w:szCs w:val="22"/>
        </w:rPr>
        <w:t xml:space="preserve">收盘价35.30元对应PE-TTM 37.83倍、PB-MRQ 4.86倍、PS-TTM 2.58倍，分别处近5.2年38%、45%、33%分位，均低于历史中位数。价格隐含长期EPS年均增长约18.5%，低于2026—2027年一致预期、接近2028年增速；估值处历史中低位，但持续性取决于业绩兑现。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一致预期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538.40亿元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45.14亿元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+100.5%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1.25元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2027E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611.81亿元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56.53亿元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+25.2%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1.56元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686.37亿元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67.39亿元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+19.2%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1.86元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近六个月8家机构评级；一致预期截至2026-10-02。2026年归母净利润3家预测区间40.31亿–51.88亿元。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机构观点</w:t>
      </w:r>
    </w:p>
    <w:p>
      <w:pPr>
        <w:spacing w:after="160" w:line="300"/>
      </w:pPr>
      <w:r>
        <w:rPr>
          <w:sz w:val="22"/>
          <w:szCs w:val="22"/>
        </w:rPr>
        <w:t xml:space="preserve">4家机构均值60.2元，区间50.49–72.3元；最新为中金公司2026-08-23目标价50.49元。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9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中金公司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跑赢行业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2026-08-23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目标价50.49元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华泰证券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增持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2026-08-21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目标价61.51元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花旗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2026-07-14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目标价72.3元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国投证券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2026-04-24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目标价56.5元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2026-10-24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预约披露2026年三季报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关注稀土产品销量、价格及利润表现；实际业绩超出市场预期为正向信号。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2026年第四季度（此前计划年内投产）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绿色冶炼升级改造二期进展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关注公司是否确认投产时间及实际投产；若仍仅为建设推进，投产节奏需后移评估。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2026-08-20 半年报确认上半年业绩高增长（利好）</w:t>
      </w:r>
      <w:r>
        <w:rPr>
          <w:sz w:val="22"/>
          <w:szCs w:val="22"/>
        </w:rPr>
        <w:t xml:space="preserve">：正式半年报确认上半年利润大幅增长；冶炼分离、稀土金属及功能应用产品产量均创同期新高，库存消化及磁材等产品销量增长支撑业绩。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2026-08-20 绿色冶炼一期投产、二期推进（利好）</w:t>
      </w:r>
      <w:r>
        <w:rPr>
          <w:sz w:val="22"/>
          <w:szCs w:val="22"/>
        </w:rPr>
        <w:t xml:space="preserve">：半年报披露绿色冶炼升级改造一期已投产、产线全线贯通，二期建设有序推进；此前年内投产为计划，尚未确认具体投产日期。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毛利率从2025年的12.21%升至2026年中报15.03%，价格改善已开始转化为利润率回升。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中报披露冶炼分离、稀土金属及功能应用产品产量创同期新高，库存消化和磁材等产品销量增长提供量的支撑。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2025年整体毛利率12.21%，仍低于2021—2022年的约27.8%，利润率尚未回到上一轮高位。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2025年原料成本占工业成本83.14%，精矿同类采购来自包钢股份占比100%，价格下行或成本传导滞后会压缩利润。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2025年末存货170.69亿元、约167天成本；若稀土价格回落，库存减值可能侵蚀利润并占用现金。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前五大客户销售占比32.80%，若主要客户需求或订单波动，可能影响销量与产能利用率。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2026年中报经营现金流净额/净利润为0.48，若现金回款持续落后于利润增长，可能限制营运资金与项目投入。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三季报业绩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预约2026-10-24披露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利润增速维持高位，且销量、价格共同支撑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利润增速明显回落或弱于市场预期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2026年中报15.03%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后续报告期维持或高于15%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回落至2025年12.21%附近或以下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现金流转化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中报经营现金流/净利润0.48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后续报告期比率升至1以上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比率继续低于0.5或现金流转弱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绿色冶炼二期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建设有序推进，尚未确认投产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确认投产并披露实际产能或效率改善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投产继续延期或进度未见实质推进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⚠️风险提示：以下为基于技术与资金面的主观情景推演，权重非统计概率，不构成投资建议。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股价低于全部所列均线并靠近52周低位，MACD仍偏弱；RSI低位显示短线超跌，但尚未出现反转确认。最新成交额低于近10日区间上沿，主力当日净流出0.71亿元。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MA5/MA10/MA20/MA60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36.15 / MA10 36.76 / MA20 37.56 / MA60 39.62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股价低于各均线，短中期趋势偏弱。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MACD（DIF/DEA/柱）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 -1.170 / DEA -1.034 / 柱 -0.273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负值且柱体较前一日扩大，弱势延续。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RSI6/RSI14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 18.7 / RSI14 28.6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指标处于低位，短线有超跌特征。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布林带上轨/中轨/下轨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上轨 39.96 / 中轨 37.56 / 下轨 35.17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股价贴近下轨，仍处于偏弱区间。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近20日区间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35.05~39.84元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收盘接近区间低点。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36.15~37.56元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对应MA5至MA20/布林中轨；收复后短线压力缓和。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35.17~35.30元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对应布林下轨与收盘附近；失守后关注52周低点。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35.05~35.17元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对应52周低点至布林下轨；跌破将刷新52周低位。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以2026-09-30价格35.30元为基准，用近300个交易日的收益分布（按当前指数加权日波动率约1.8%缩放，保留这只股票自身的大涨大跌频率）推算未来5个交易日的收盘价范围：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34.06～36.70元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-3.5%～+4.0%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32.87～38.89元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-6.9%～+10.2%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该区间只反映这只股票近期的波动幅度，不含涨跌方向判断；遇到重大公告或大盘急跌，实际走势仍可能超出区间。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震荡整理（相对权重较高，约四成）</w:t>
      </w:r>
      <w:r>
        <w:rPr>
          <w:sz w:val="22"/>
          <w:szCs w:val="22"/>
        </w:rPr>
        <w:t xml:space="preserve">：35.05~37.56元；守住35.05元、但未有效收复37.56元时，偏向区间整理。按历史波动率测算，一周后收盘落在该区间的概率约55%。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偏弱下行（相对权重较高，约四成）</w:t>
      </w:r>
      <w:r>
        <w:rPr>
          <w:sz w:val="22"/>
          <w:szCs w:val="22"/>
        </w:rPr>
        <w:t xml:space="preserve">：35.05~36.15元；若反抽受阻于36.15元且跌破35.17元，关注回测52周低点。按历史波动率测算，一周后收盘落在该区间的概率约30%。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反弹走强（权重偏低，约两成）</w:t>
      </w:r>
      <w:r>
        <w:rPr>
          <w:sz w:val="22"/>
          <w:szCs w:val="22"/>
        </w:rPr>
        <w:t xml:space="preserve">：36.15~39.96元；放量收复36.15元并进一步突破37.56元，反弹空间才有望打开。按历史波动率测算，一周后收盘落在该区间的概率约30%。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括号内是主观权重；句末的概率由上面的波动率区间反推，只反映波动幅度、不含方向判断。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截至2026-09-30，近10个交易日日成交额约7.10亿~18.69亿元、换手率约0.55%~1.38%；最新为7.65亿元、0.60%。截至2026-06-30，前十大流通股东合计持股46.98%，包钢集团占38.03%；其中包含多只有色金属、稀土主题ETF，股东结构披露有滞后，可能已变化。成交活跃度尚可，但流通股集中度较高，大额交易可能放大价格冲击。</w:t>
      </w:r>
    </w:p>
    <w:p>
      <w:pPr>
        <w:spacing w:after="160" w:line="300"/>
      </w:pPr>
      <w:r>
        <w:rPr>
          <w:sz w:val="22"/>
          <w:szCs w:val="22"/>
        </w:rPr>
        <w:t xml:space="preserve">若单日成交额超过近10日区间上沿18.69亿元，且股价收复36.15元，可视为放量确认信号。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2026-09-30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中国北方稀土（集团）高科技股份有限公司2025年年度报告 — https://big5.sse.com.cn/site/cht/www.sse.com.cn/disclosure/listedinfo/announcement/c/new/2026-04-18/600111_20260418_EVT0.pdf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中国北方稀土（集团）高科技股份有限公司2025年年度报告 — https://stockmc.xueqiu.com/202604/600111_20260418_EVT0.pdf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公司公告_北方稀土：2023年度报告全文新浪财经_新浪网 — https://vip.stock.finance.sina.com.cn/corp/view/vCB_AllBulletinDetail.php?id=9993110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北方稀土(600111)_公司公告_北方稀土：2025年度报告全文新浪财经_新浪网 — https://money.finance.sina.com.cn/corp/view/vCB_AllBulletinDetail.php?id=12108527&amp;stockid=600111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北方稀土市盈率(P/E ratio)历史走势_历年数据对比 | 财报帮 — https://caibaobang.cn/sanpk/mh-zbs?code=600111&amp;tag=pe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盛和资源控股股份有限公司2025年年度报告 — https://static.cninfo.com.cn/finalpage/2026-04-30/1225258047.PDF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中国稀土(000831)_公司公告_中国稀土：2025年年度报告新浪财经_新浪网 — https://money.finance.sina.com.cn/corp/view/vCB_AllBulletinDetail.php?id=12233281&amp;stockid=000831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厦门钨业(600549)_公司公告_厦门钨业：2025年年度报告摘要新浪财经_新浪网 — https://money.finance.sina.com.cn/corp/view/vCB_AllBulletinDetail.php?id=12165582&amp;stockid=600549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F10 财务分析 — https://emweb.securities.eastmoney.com/pc_hsf10/pages/index.html?type=web&amp;code=SH600111#/cwfx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F10 盈利预测 — https://emweb.securities.eastmoney.com/pc_hsf10/pages/index.html?type=web&amp;code=SH600111#/ylyc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北方稀土:北方稀土2026年半年度报告全文 — https://pdf.dfcfw.com/pdf/H2_AN202608191828159811_1.pdf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北方稀土: 北方稀土2026年半年度报告全文_股票频道_证券之星 — https://stock.stockstar.com/notice/SN2026081900035551.shtml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公司公告_北方稀土：2026年半年度业绩预增公告新浪财经_新浪网 — https://vip.stock.finance.sina.com.cn/corp/view/vCB_AllBulletinDetail.php?id=12444646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中国北方稀土（集团）高科技股份有限公司　2026年半年度报告摘要 — https://static.cninfo.com.cn/finalpage/2026-08-20/1225483045.PDF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北方稀土(600111)_公司公告_北方稀土：关于2026年第三季度稀土精矿交易价格的公告新浪财经_新浪网 — https://money.finance.sina.com.cn/corp/view/vCB_AllBulletinDetail.php?id=12437475&amp;stockid=600111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北方稀土(600111) 公司大事_F10_同花顺金融服务网 — https://basic.10jqka.com.cn/600111/event.html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北方稀土(600111)_公司公告_北方稀土：2026年第一次临时股东会决议公告新浪财经_新浪网 — https://money.finance.sina.com.cn/corp/view/vCB_AllBulletinDetail.php?id=12436893&amp;stockid=600111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中国北方稀土（集团）高科技股份有限公司第九届董事会第十六次会议决议公告_新浪财经_新浪网 — https://finance.sina.com.cn/roll/2026-09-19/doc-inishrau8193503.shtml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证券代码：600111 — https://big5.sse.com.cn/site/cht/www.sse.com.cn/disclosure/listedinfo/announcement/c/new/2026-04-18/600111_20260418_10LP.pdf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个股资金流向 — https://data.eastmoney.com/zjlx/600111.html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股东研究 — https://emweb.securities.eastmoney.com/pc_hsf10/pages/index.html?type=web&amp;code=SH600111#/gdyj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2026-09-30收盘，可能存在时效性差异，具体数据请以公司正式公告及权威数据终端为准。本报告仅为信息整理与研究参考，不构成任何投资建议，投资者应独立判断并自行承担投资风险。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2026-10-01T20:08:18.506Z</dcterms:created>
  <dcterms:modified xsi:type="dcterms:W3CDTF">2026-10-01T20:08:18.506Z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