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广东生益科技股份有限公司（生益科技） (600183)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行业：覆铜板、PCB及高端电子材料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截至2026年9月11日收盘；技术指标、成交量及资金流数据主要对应2026年9月11日，股东结构数据截至2026年6月30日，公告披露日期为2026年8月15日。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生益科技基本面处于高速增长阶段：2026年上半年实现营业收入190.26亿元，同比增长50.05%；归母净利润32.87亿元，同比增长130.42%，扣非归母净利润29.08亿元，同比增长110.99%。第二季度收入约108.84亿元、归母净利润约21.29亿元，分别同比增长53.98%和146.72%，显示覆铜板销量及高端产品占比提升、AI服务器和高速通信需求增长，以及印制线路板高附加值产品放量共同推动业绩加速。</w:t>
      </w:r>
    </w:p>
    <w:p>
      <w:pPr>
        <w:spacing w:after="160" w:line="300"/>
      </w:pPr>
      <w:r>
        <w:rPr>
          <w:sz w:val="22"/>
          <w:szCs w:val="22"/>
        </w:rPr>
        <w:t xml:space="preserve">公司核心竞争力来自全球规模、覆铜板产能与客户认证积累，以及覆铜板、软性材料、封装材料和PCB制造的协同布局。2025年公司营业收入284.31亿元，同比增长39.45%，归母净利润33.34亿元，同比增长91.75%；主营业务综合毛利率提升至25.10%。2026年上半年覆铜板及粘结片业务收入123.57亿元、毛利率29.16%，印制线路板业务收入55.19亿元、毛利率31.20%，产品结构优化和高端材料放量对盈利改善的贡献较为明显。</w:t>
      </w:r>
    </w:p>
    <w:p>
      <w:pPr>
        <w:spacing w:after="160" w:line="300"/>
      </w:pPr>
      <w:r>
        <w:rPr>
          <w:sz w:val="22"/>
          <w:szCs w:val="22"/>
        </w:rPr>
        <w:t xml:space="preserve">业绩增长的持续性仍需区分主营业务改善与非经常性因素。2026年上半年归母净利润中包含约4.07亿元联瑞新材可转债公允价值变动收益，归母净利润与扣非归母净利润相差约3.79亿元；公司拟择机处置相关可转债，未来处置时间、价格及对利润的影响尚不确定。因此，后续应重点观察扣非利润、覆铜板和PCB毛利率、涨价传导以及经营现金流的持续性。</w:t>
      </w:r>
    </w:p>
    <w:p>
      <w:pPr>
        <w:spacing w:after="160" w:line="300"/>
      </w:pPr>
      <w:r>
        <w:rPr>
          <w:sz w:val="22"/>
          <w:szCs w:val="22"/>
        </w:rPr>
        <w:t xml:space="preserve">截至2026年9月11日，公司股价收于148.43元，总市值约3605亿元，按机构一致预期计算的2026年、2027年预测市盈率约为54倍和36倍，估值已反映较高的AI高速覆铜板、高端PCB放量及产品涨价预期。技术面上股价仍位于主要均线之上，但MACD为负、随机RSI处于超买区域，且近期资金流向由净流入转为净流出，短期更呈现高位震荡和动能消化特征。</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600183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生益科技，前身简称为“生益股份”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研究时点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2026年9月11日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财务和经营数据主要截至2025年12月31日，行业份额主要截至2024年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主营产品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覆铜板、粘结片、印制线路板，以及挠性覆铜板、覆盖膜、无胶基材、封装胶膜等软性材料和封装相关材料</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284.31亿元，同比增长39.45%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2025年主要分部收入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覆铜板业务对外收入179.79亿元，占集团收入约63.2%；线路板业务94.58亿元，占比约33.3%；地产业务0.94亿元，占比约0.3%；其他业务9.01亿元，占比约3.2%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2025年产销情况</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覆铜板生产1.581亿平方米、销售1.606亿平方米；粘结片生产2.224亿米、销售2.225亿米；生益电子生产印制线路板172.98万平方米、销售171.62万平方米</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产能与排名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公司年报称拥有全球业内排名第二的覆铜板产能；2025年2月投资者问答披露覆铜板业务合计年产能约1.2亿平方米，但与2025年实际产量存在统计口径差异，不能直接比较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覆铜板基地分布于广东东莞、陕西咸阳、江苏苏州、常熟、南通和江西九江；同时推进泰国覆铜板及粘结片生产基地建设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主要应用领域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AI服务器、5G通信、数据中心、汽车电子、芯片封装、航空航天、工控医疗、智能家居、家电和消费电子</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覆铜板及粘结片：覆盖普通FR-4、高速高频材料、汽车电子材料、金属基材料、封装基材和挠性材料等。</w:t>
      </w:r>
    </w:p>
    <w:p>
      <w:pPr>
        <w:pStyle w:val="ListParagraph"/>
        <w:numPr>
          <w:ilvl w:val="0"/>
          <w:numId w:val="2"/>
        </w:numPr>
        <w:spacing w:after="80" w:line="280"/>
      </w:pPr>
      <w:r>
        <w:rPr>
          <w:sz w:val="22"/>
          <w:szCs w:val="22"/>
        </w:rPr>
        <w:t xml:space="preserve">印制线路板：主要由控股子公司生益电子开展，聚焦高层数、高精度、高密度、高可靠性线路板，服务通信、服务器、汽车电子和消费电子等市场。</w:t>
      </w:r>
    </w:p>
    <w:p>
      <w:pPr>
        <w:pStyle w:val="ListParagraph"/>
        <w:numPr>
          <w:ilvl w:val="0"/>
          <w:numId w:val="2"/>
        </w:numPr>
        <w:spacing w:after="80" w:line="280"/>
      </w:pPr>
      <w:r>
        <w:rPr>
          <w:sz w:val="22"/>
          <w:szCs w:val="22"/>
        </w:rPr>
        <w:t xml:space="preserve">软材及封装相关材料：包括挠性覆铜板、覆盖膜、无胶基材和封装胶膜，主要面向汽车动力电池、消费电子和芯片封装。</w:t>
      </w:r>
    </w:p>
    <w:p>
      <w:pPr>
        <w:pStyle w:val="ListParagraph"/>
        <w:numPr>
          <w:ilvl w:val="0"/>
          <w:numId w:val="2"/>
        </w:numPr>
        <w:spacing w:after="80" w:line="280"/>
      </w:pPr>
      <w:r>
        <w:rPr>
          <w:sz w:val="22"/>
          <w:szCs w:val="22"/>
        </w:rPr>
        <w:t xml:space="preserve">其他业务：包括房地产、废弃资源综合利用及其他业务，对集团整体收入贡献较小。</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生益科技处于PCB产业链的中游偏上位置：上游连接铜箔、玻璃布、树脂和化工材料供应商，中游生产覆铜板、粘结片、挠性材料和PCB，下游连接PCB厂商、通信设备、服务器、汽车电子、芯片封装和消费电子客户。公司通过“电子材料+PCB制造”形成纵向协同，并向高频高速材料、汽车电子材料、封装基材和软性材料延伸。</w:t>
      </w:r>
    </w:p>
    <w:p>
      <w:pPr>
        <w:pStyle w:val="ListParagraph"/>
        <w:numPr>
          <w:ilvl w:val="0"/>
          <w:numId w:val="2"/>
        </w:numPr>
        <w:spacing w:after="80" w:line="280"/>
      </w:pPr>
      <w:r>
        <w:rPr>
          <w:sz w:val="22"/>
          <w:szCs w:val="22"/>
        </w:rPr>
        <w:t xml:space="preserve">关键投入包括电解铜箔、电子级玻璃纤维布、树脂体系、化工助剂及其他辅材；公司年报明确提及铜箔和玻璃布为主要原材料。</w:t>
      </w:r>
    </w:p>
    <w:p>
      <w:pPr>
        <w:pStyle w:val="ListParagraph"/>
        <w:numPr>
          <w:ilvl w:val="0"/>
          <w:numId w:val="2"/>
        </w:numPr>
        <w:spacing w:after="80" w:line="280"/>
      </w:pPr>
      <w:r>
        <w:rPr>
          <w:sz w:val="22"/>
          <w:szCs w:val="22"/>
        </w:rPr>
        <w:t xml:space="preserve">2025年铜箔、玻璃布等主要原材料出现明显涨价，部分阶段玻璃布供应紧缺，公司采取材料国产化、开发新供方、供应商驻厂、集团集中采购及与供应商联合开发等措施降低供应风险。</w:t>
      </w:r>
    </w:p>
    <w:p>
      <w:pPr>
        <w:pStyle w:val="ListParagraph"/>
        <w:numPr>
          <w:ilvl w:val="0"/>
          <w:numId w:val="2"/>
        </w:numPr>
        <w:spacing w:after="80" w:line="280"/>
      </w:pPr>
      <w:r>
        <w:rPr>
          <w:sz w:val="22"/>
          <w:szCs w:val="22"/>
        </w:rPr>
        <w:t xml:space="preserve">铜箔、玻璃布等材料具有较强商品属性和行业集中度，公司对上游大宗材料价格不存在完全控制力，整体仍属于部分原材料价格的接受者。</w:t>
      </w:r>
    </w:p>
    <w:p>
      <w:pPr>
        <w:pStyle w:val="ListParagraph"/>
        <w:numPr>
          <w:ilvl w:val="0"/>
          <w:numId w:val="2"/>
        </w:numPr>
        <w:spacing w:after="80" w:line="280"/>
      </w:pPr>
      <w:r>
        <w:rPr>
          <w:sz w:val="22"/>
          <w:szCs w:val="22"/>
        </w:rPr>
        <w:t xml:space="preserve">公司凭借全球规模、长期供应商合作和较大采购规模增强采购议价能力，并可通过配方升级、材料国产化、集团采购、工艺优化和产品涨价向下游转移部分成本，但成本传导存在滞后，原材料快速上涨时可能出现“负剪刀差”。</w:t>
      </w:r>
    </w:p>
    <w:p>
      <w:pPr>
        <w:pStyle w:val="ListParagraph"/>
        <w:numPr>
          <w:ilvl w:val="0"/>
          <w:numId w:val="2"/>
        </w:numPr>
        <w:spacing w:after="80" w:line="280"/>
      </w:pPr>
      <w:r>
        <w:rPr>
          <w:sz w:val="22"/>
          <w:szCs w:val="22"/>
        </w:rPr>
        <w:t xml:space="preserve">供应商集中度：2023年年报披露不存在向单个供应商采购比例超过总采购额50%或严重依赖少数供应商的情形；该数据仅对应2023年度，2025年年报公开文本中未检索到同口径数据，不能据此推断2025年供应商结构未发生变化。</w:t>
      </w:r>
    </w:p>
    <w:p>
      <w:pPr>
        <w:pStyle w:val="ListParagraph"/>
        <w:numPr>
          <w:ilvl w:val="0"/>
          <w:numId w:val="2"/>
        </w:numPr>
        <w:spacing w:after="80" w:line="280"/>
      </w:pPr>
      <w:r>
        <w:rPr>
          <w:sz w:val="22"/>
          <w:szCs w:val="22"/>
        </w:rPr>
        <w:t xml:space="preserve">下游客户包括PCB厂商、通信设备厂商、服务器及数据中心产业链企业、汽车电子及Tier-1厂商、消费电子厂商和芯片封装企业等。</w:t>
      </w:r>
    </w:p>
    <w:p>
      <w:pPr>
        <w:pStyle w:val="ListParagraph"/>
        <w:numPr>
          <w:ilvl w:val="0"/>
          <w:numId w:val="2"/>
        </w:numPr>
        <w:spacing w:after="80" w:line="280"/>
      </w:pPr>
      <w:r>
        <w:rPr>
          <w:sz w:val="22"/>
          <w:szCs w:val="22"/>
        </w:rPr>
        <w:t xml:space="preserve">截至2025年度，公司存在1个收入超过集团总收入10%的客户，贡献收入39.24亿元、约占集团收入13.8%，客户名称未披露。公司2025年年报未披露前五大客户合计收入占比，因此客户集中度只能以单一大客户数据观察，具体以最新年报为准。</w:t>
      </w:r>
    </w:p>
    <w:p>
      <w:pPr>
        <w:pStyle w:val="ListParagraph"/>
        <w:numPr>
          <w:ilvl w:val="0"/>
          <w:numId w:val="2"/>
        </w:numPr>
        <w:spacing w:after="80" w:line="280"/>
      </w:pPr>
      <w:r>
        <w:rPr>
          <w:sz w:val="22"/>
          <w:szCs w:val="22"/>
        </w:rPr>
        <w:t xml:space="preserve">普通覆铜板和成熟消费电子产品竞争较激烈，下游PCB客户对价格、交期和质量较敏感，公司容易受到价格竞争压力。</w:t>
      </w:r>
    </w:p>
    <w:p>
      <w:pPr>
        <w:pStyle w:val="ListParagraph"/>
        <w:numPr>
          <w:ilvl w:val="0"/>
          <w:numId w:val="2"/>
        </w:numPr>
        <w:spacing w:after="80" w:line="280"/>
      </w:pPr>
      <w:r>
        <w:rPr>
          <w:sz w:val="22"/>
          <w:szCs w:val="22"/>
        </w:rPr>
        <w:t xml:space="preserve">高频高速、低损耗、汽车电子和封装载板材料验证周期较长，客户切换供应商面临重新验证、良率和可靠性风险，因此高端材料具有更强客户黏性和相对更强议价能力。</w:t>
      </w:r>
    </w:p>
    <w:p>
      <w:pPr>
        <w:pStyle w:val="ListParagraph"/>
        <w:numPr>
          <w:ilvl w:val="0"/>
          <w:numId w:val="2"/>
        </w:numPr>
        <w:spacing w:after="80" w:line="280"/>
      </w:pPr>
      <w:r>
        <w:rPr>
          <w:sz w:val="22"/>
          <w:szCs w:val="22"/>
        </w:rPr>
        <w:t xml:space="preserve">PCB业务受大型通信、服务器及终端客户订单影响较大，客户集中度和大客户项目节奏会影响产能利用率及利润率；下游结构并非典型资源品定价模式，而是普通产品价格竞争与高端产品认证壁垒并存。</w:t>
      </w:r>
    </w:p>
    <w:p>
      <w:pPr>
        <w:pStyle w:val="ListParagraph"/>
        <w:numPr>
          <w:ilvl w:val="0"/>
          <w:numId w:val="2"/>
        </w:numPr>
        <w:spacing w:after="80" w:line="280"/>
      </w:pPr>
      <w:r>
        <w:rPr>
          <w:sz w:val="22"/>
          <w:szCs w:val="22"/>
        </w:rPr>
        <w:t xml:space="preserve">截至2025年12月31日，公司合并口径应收账款95.26亿元，占总资产29.07%，较2024年末73.05亿元增长30.39%，约占2025年营业收入33.5%；经营性应收项目对现金流形成约10.26亿元资金占用，经营性应付项目增加约16.35亿元；期末应付账款约44.21亿元、应付票据约28.01亿元，合计约72.22亿元，低于应收账款95.26亿元，说明公司仍存在一定营运资金占用，但供应商信用和商业信用形成部分缓冲。2025年经营活动产生的现金流量净额为52.74亿元，高于当期净利润38.92亿元，暂未显示严重回款恶化。</w:t>
      </w:r>
    </w:p>
    <w:p>
      <w:pPr>
        <w:pStyle w:val="ListParagraph"/>
        <w:numPr>
          <w:ilvl w:val="0"/>
          <w:numId w:val="2"/>
        </w:numPr>
        <w:spacing w:after="80" w:line="280"/>
      </w:pPr>
      <w:r>
        <w:rPr>
          <w:sz w:val="22"/>
          <w:szCs w:val="22"/>
        </w:rPr>
        <w:t xml:space="preserve">客户集中度方面，2025年度仅披露1个客户收入占集团总收入约13.8%，未披露前五大客户合计占比及客户名称；供应商集中度方面，2023年年报披露不存在单一供应商采购占比超过50%或严重依赖少数供应商，但2025年是否延续该口径未能确认。上述数据存在年份和披露口径限制，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约26.82%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约14.43%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电子行业需求旺盛，覆铜板供需较好，产品价格和单位毛利较高，规模、产品结构及客户认证优势得到体现。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约22.03%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约9.06%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消费电子需求走弱，覆铜板行业景气度下滑、产品价格承压，原材料、能源和制造成本挤压利润率。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约6.93%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行业需求疲软、价格竞争加剧，覆铜板售价下降幅度高于部分原材料成本下降幅度；PCB部分新产能处于爬坡阶段，单位成本较高。公司年报披露覆铜板及粘结片毛利率20.11%，印制线路板毛利率11.13%。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约22.04%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约9.16%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行业需求修复、覆铜板销量上升，产品结构改善，AI服务器、高速通信和汽车电子等高附加值产品贡献增加，PCB业务稼动率和高端产品占比改善。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约26.47%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约13.69%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AI服务器、高速网络、汽车电子和高端PCB需求增长，高速产品放量，覆铜板及PCB销量、售价和产品结构同步改善；涨价、材料国产化、采购协同、工艺优化和产能瓶颈改造部分缓解铜箔、玻璃布涨价压力。2025年改善同时受行业周期回升和价格上涨影响，不能全部视为长期结构性提升。</w:t>
            </w:r>
          </w:p>
        </w:tc>
      </w:tr>
    </w:tbl>
    <w:p>
      <w:pPr>
        <w:spacing w:before="200"/>
      </w:pPr>
    </w:p>
    <w:p>
      <w:pPr>
        <w:spacing w:after="160" w:line="300"/>
      </w:pPr>
      <w:r>
        <w:rPr>
          <w:sz w:val="22"/>
          <w:szCs w:val="22"/>
        </w:rPr>
        <w:t xml:space="preserve">公司位于电子电路材料产业链的中游偏上，核心利润仍来自规模化覆铜板业务，属于技术、规模和客户认证驱动的中游材料制造商，而非上游资源垄断或下游终端品牌。进一步提升利润主要依赖高频高速、AI服务器、汽车电子和封装材料等高端产品占比提升，以及涨价传导、材料国产化、产能利用率和规模协同改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190.26亿元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同比增加50.05%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32.87亿元（归属于上市公司股东）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同比增加130.42%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约108.84亿元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同比增长53.98%，环比增长33.69%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约21.29亿元（归属于上市公司股东）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同比增长146.72%，环比增长83.82%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284.31亿元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同比增长39.45%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33.34亿元（归属于上市公司股东）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同比增长91.75%</w:t>
            </w:r>
          </w:p>
        </w:tc>
      </w:tr>
    </w:tbl>
    <w:p>
      <w:pPr>
        <w:spacing w:after="200"/>
      </w:pPr>
      <w:r>
        <w:rPr>
          <w:i/>
          <w:iCs/>
          <w:color w:val="595959"/>
          <w:sz w:val="18"/>
          <w:szCs w:val="18"/>
        </w:rPr>
        <w:t xml:space="preserve">2026年上半年扣除非经常性损益后的归母净利润为29.08亿元，同比增加110.99%；利润总额为42.21亿元，同比增加129.33%；经营活动产生的现金流量净额为29.83亿元，同比增加53.44%；基本每股收益为1.36元，同比增加130.51%；加权平均净资产收益率为18.17%，同比增加8.82个百分点。2025年度主营业务综合毛利率为25.10%，同比提升4.52个百分点。</w:t>
      </w:r>
    </w:p>
    <w:p>
      <w:pPr>
        <w:spacing w:after="160" w:line="300"/>
      </w:pPr>
      <w:r>
        <w:rPr>
          <w:sz w:val="22"/>
          <w:szCs w:val="22"/>
        </w:rPr>
        <w:t xml:space="preserve">2026年上半年公司收入和利润均实现高速增长，第二季度业绩进一步加速，主要受覆铜板销量增长、产品结构优化、AI服务器及数据中心相关高端产品需求增长，以及印制线路板业务高附加值产品占比提升推动。需要注意的是，2026年上半年公允价值变动收益约4.10亿元，归母净利润与扣非归母净利润相差约3.79亿元，归母净利润增速高于扣非净利润增速，后续应重点关注扣非利润、毛利率、涨价传导和经营现金流的持续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汇总数据显示，截至2026年9月9日，近6个月共有19家机构进行盈利预测。2026年归母净利润预测区间为35.71亿至85.01亿元，EPS预测区间为1.47至3.50元；2027年归母净利润预测区间为48.10亿至170.34亿元，EPS预测区间为1.98至7.01元；2028年归母净利润预测区间为98.77亿至229.63亿元，EPS预测区间为4.07至9.45元。代表性机构预测方面：华泰证券预计2026—2028年归母净利润分别为79.47亿元、121.99亿元和179.65亿元，EPS分别为3.27元、5.02元和7.40元；中国银河预计分别为70.04亿元、101.88亿元和127.94亿元，EPS分别为2.88元、4.19元和5.27元；平安证券预计分别为70.30亿元、102.70亿元和133.64亿元，EPS分别为2.89元、4.23元和5.50元；太平洋证券预计营业收入分别为391.48亿元、514.85亿元和629.84亿元，归母净利润分别为55.70亿元、78.56亿元和101.69亿元，EPS分别为2.29元、3.23元和4.19元；高盛预计营业收入分别为383.87亿元、571.31亿元和795.27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约443.84亿元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65.80亿元（机构一致预测均值）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较2025年预测同比增长约97.35%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2.71元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公开页面未完整披露机构一致预测均值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100.11亿元（机构一致预测均值）</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研究纪要未提供相对2026年的一致预测增速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公开页面未完整披露机构一致预测均值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140.92亿元（机构一致预测均值）</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研究纪要未提供相对2027年的一致预测增速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5.80元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同花顺机构汇总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买入11家；增持4家；中性、减持、卖出0家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近6个月公开汇总评级整体偏积极。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目标价200.80元；目标价基于2027年预测市盈率40倍。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公开检索结果未显示明确目标价。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平安证券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公开检索结果未显示明确目标价；报告预计2026—2028年市盈率分别为53.0倍、36.3倍和27.9倍。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公开报告正文未显示明确目标价；报告对应市盈率约为2026年47.1倍、2027年33.4倍、2028年25.8倍。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未披露明确评级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目标价上调至127.4元，对应2027年预测市盈率约35倍。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公开检索结果显示目标价约210元；部分转载页面显示报告基准股价为132.80元，目标价与当前股价比较需注意报告发布时间和股价变化。</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未检索到明确目标价；预测2026—2028年EPS为2.61元、3.87元和4.77元。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目标价101.10元。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目标价103.50元；该目标价基于当时股价和预测，时效性相对较弱。</w:t>
            </w:r>
          </w:p>
        </w:tc>
      </w:tr>
    </w:tbl>
    <w:p>
      <w:pPr>
        <w:spacing w:before="200"/>
      </w:pPr>
    </w:p>
    <w:p>
      <w:pPr>
        <w:spacing w:after="160" w:line="300"/>
      </w:pPr>
      <w:r>
        <w:rPr>
          <w:sz w:val="22"/>
          <w:szCs w:val="22"/>
        </w:rPr>
        <w:t xml:space="preserve">截至2026年9月10日收盘，公司股价为146.96元，总市值约3569.66亿元，总股本约24.29亿股；市盈率TTM约为68.7倍至70倍，市净率约19.3倍，52周最高价约191.88元，52周最低价约49.20元至49.87元。按同花顺机构一致预测EPS计算，2026—2028年预测市盈率约为54.2倍、35.7倍和25.3倍；按华泰证券预测EPS计算，分别约为44.9倍、29.3倍和19.9倍；按平安证券预测EPS计算，分别约为50.9倍、34.7倍和26.7倍。当前估值已明显反映AI高速覆铜板、PCB业务增长及产品涨价预期，2026年一致预期PE约54倍、2027年约36倍，整体处于较高水平。机构对2026年归母净利润预测区间为约35.7亿元至85.0亿元，分歧较大，主要反映对AI高速材料放量速度、PCB业务利润率、覆铜板涨价持续性及海外客户订单兑现程度的不同判断。华泰证券目标价200.80元对应较收盘价上涨约36.6%，但其采用2027年40倍PE，且明显高于其披露的可比公司2027年约20.4倍PE，属于包含较高AI成长溢价的乐观情景。总体而言，公司基本面处于高速增长阶段，机构评级整体偏多，但当前股价已计入较高增长预期，后续估值消化和股价表现取决于AI高速覆铜板及高端PCB业务能否兑现高端机构预测。</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2026年半年度报告披露，业绩实现高增长</w:t>
      </w:r>
    </w:p>
    <w:p>
      <w:pPr>
        <w:spacing w:after="160" w:line="300"/>
      </w:pPr>
      <w:r>
        <w:rPr>
          <w:sz w:val="22"/>
          <w:szCs w:val="22"/>
        </w:rPr>
        <w:t xml:space="preserve">2026年8月15日，公司披露《2026年半年度报告》。2026年上半年实现营业收入190.26亿元，同比增长50.05%；归属于上市公司股东的净利润32.87亿元，同比增长130.42%；扣除非经常性损益后的归母净利润29.08亿元，同比增长110.99%；经营活动产生的现金流量净额29.83亿元，同比增长53.44%；基本每股收益1.36元，同比增长130.51%。覆铜板和粘结片业务收入123.57亿元，同比增长47.74%，毛利率29.16%，同比提升5.47个百分点；印制线路板业务收入55.19亿元，同比增长52.03%，毛利率31.20%，同比提升3.35个百分点。公司称，收入增长主要来自覆铜板销量及产品结构优化，以及印制线路板销量和高附加值产品占比提升。</w:t>
      </w:r>
    </w:p>
    <w:p>
      <w:pPr>
        <w:pStyle w:val="Heading2"/>
        <w:spacing w:after="120" w:before="240"/>
      </w:pPr>
      <w:r>
        <w:rPr>
          <w:b/>
          <w:bCs/>
          <w:color w:val="2E74B5"/>
          <w:sz w:val="24"/>
          <w:szCs w:val="24"/>
        </w:rPr>
        <w:t xml:space="preserve">4.2 半年报利润包含联瑞新材可转债公允价值变动收益</w:t>
      </w:r>
    </w:p>
    <w:p>
      <w:pPr>
        <w:spacing w:after="160" w:line="300"/>
      </w:pPr>
      <w:r>
        <w:rPr>
          <w:sz w:val="22"/>
          <w:szCs w:val="22"/>
        </w:rPr>
        <w:t xml:space="preserve">2026年上半年归母净利润中包含较明显的公允价值变动收益。公司确认联瑞新材可转债公允价值变动相关非经常性损益约4.07亿元。公司于2026年7月15日公告拟择机处置所持联瑞新材可转债，因此半年报利润增长并非全部来自主营业务，后续利润持续性仍需结合覆铜板、PCB业务的销量、价格和毛利率变化判断。</w:t>
      </w:r>
    </w:p>
    <w:p>
      <w:pPr>
        <w:pStyle w:val="Heading2"/>
        <w:spacing w:after="120" w:before="240"/>
      </w:pPr>
      <w:r>
        <w:rPr>
          <w:b/>
          <w:bCs/>
          <w:color w:val="2E74B5"/>
          <w:sz w:val="24"/>
          <w:szCs w:val="24"/>
        </w:rPr>
        <w:t xml:space="preserve">4.3 半年度业绩预增公告获正式中报验证</w:t>
      </w:r>
    </w:p>
    <w:p>
      <w:pPr>
        <w:spacing w:after="160" w:line="300"/>
      </w:pPr>
      <w:r>
        <w:rPr>
          <w:sz w:val="22"/>
          <w:szCs w:val="22"/>
        </w:rPr>
        <w:t xml:space="preserve">2026年7月14日，公司披露半年度业绩预增公告，预计2026年上半年归母净利润为30.99亿至32.98亿元，同比增长117%至131%；预计扣非归母净利润为27.19亿至29.18亿元，同比增长97%至112%。最终披露的归母净利润为32.87亿元，扣非归母净利润为29.08亿元，均接近预告区间上限。公司披露的增长原因主要包括覆铜板产品结构持续优化、高端高速产品占比提升、部分新增产能释放，以及生益电子受益于AI算力和高速通信需求增长。</w:t>
      </w:r>
    </w:p>
    <w:p>
      <w:pPr>
        <w:pStyle w:val="Heading2"/>
        <w:spacing w:after="120" w:before="240"/>
      </w:pPr>
      <w:r>
        <w:rPr>
          <w:b/>
          <w:bCs/>
          <w:color w:val="2E74B5"/>
          <w:sz w:val="24"/>
          <w:szCs w:val="24"/>
        </w:rPr>
        <w:t xml:space="preserve">4.4 拟择机处置联瑞新材可转换公司债券</w:t>
      </w:r>
    </w:p>
    <w:p>
      <w:pPr>
        <w:spacing w:after="160" w:line="300"/>
      </w:pPr>
      <w:r>
        <w:rPr>
          <w:sz w:val="22"/>
          <w:szCs w:val="22"/>
        </w:rPr>
        <w:t xml:space="preserve">2026年7月15日，公司公告拟根据市场行情择机处置持有的江苏联瑞新材料股份有限公司可转换公司债券1,616,660张。本次交易不构成关联交易，也不构成重大资产重组；交易已经董事会审议通过，无需提交股东会审议。公司尚未确定具体处置时间、交易价格和最终交易数量，实际交易能否完成存在不确定性。由于该可转债按照公允价值计量且其变动计入当期损益，未来债券价格变动及处置收益可能影响公司2026年度利润，具体影响目前无法预计，最终以审计结果为准。</w:t>
      </w:r>
    </w:p>
    <w:p>
      <w:pPr>
        <w:pStyle w:val="Heading2"/>
        <w:spacing w:after="120" w:before="240"/>
      </w:pPr>
      <w:r>
        <w:rPr>
          <w:b/>
          <w:bCs/>
          <w:color w:val="2E74B5"/>
          <w:sz w:val="24"/>
          <w:szCs w:val="24"/>
        </w:rPr>
        <w:t xml:space="preserve">4.5 湖南绿晟环保及下属公司担保事项取得进展</w:t>
      </w:r>
    </w:p>
    <w:p>
      <w:pPr>
        <w:spacing w:after="160" w:line="300"/>
      </w:pPr>
      <w:r>
        <w:rPr>
          <w:sz w:val="22"/>
          <w:szCs w:val="22"/>
        </w:rPr>
        <w:t xml:space="preserve">2026年8月26日，公司披露公告编号为2026-054的担保进展公告。在此前批准的4亿元担保额度内，永兴鹏琨环保有限公司向北京银行长沙分行融资7000万元，湖南绿晟环保为该笔融资提供连带责任保证担保，综合授信期限为2年。截至公告披露日，公司及下属公司对下属公司的累计担保总额为6.74亿元，其中公司对下属公司累计担保2.74亿元、下属公司之间担保4亿元；累计担保总额占公司最近一期经审计净资产的4.03%，不存在逾期担保。公告提示，本次担保涉及资产负债率超过70%的被担保单位。</w:t>
      </w:r>
    </w:p>
    <w:p>
      <w:pPr>
        <w:pStyle w:val="Heading2"/>
        <w:spacing w:after="120" w:before="240"/>
      </w:pPr>
      <w:r>
        <w:rPr>
          <w:b/>
          <w:bCs/>
          <w:color w:val="2E74B5"/>
          <w:sz w:val="24"/>
          <w:szCs w:val="24"/>
        </w:rPr>
        <w:t xml:space="preserve">4.6 股票交易异常波动，公司发布风险提示</w:t>
      </w:r>
    </w:p>
    <w:p>
      <w:pPr>
        <w:spacing w:after="160" w:line="300"/>
      </w:pPr>
      <w:r>
        <w:rPr>
          <w:sz w:val="22"/>
          <w:szCs w:val="22"/>
        </w:rPr>
        <w:t xml:space="preserve">2026年8月7日，公司发布股票交易异常波动公告；2026年8月8日发布股票交易风险提示公告。公司股票在2026年8月4日、8月5日和8月6日连续三个交易日收盘价格涨幅偏离值累计超过20%，构成股票交易异常波动。公司核查后表示，未发现应披露而未披露的重大事项、未公开重大信息或正在筹划的重大资产重组事项，也未发现公司董事、高级管理人员及持股5%以上股东在异常波动期间买卖公司股票。2026年8月7日股票以涨停价收盘，较8月3日收盘价上涨约37%，公司提示短期上涨幅度较大，可能存在股价回调风险。</w:t>
      </w:r>
    </w:p>
    <w:p>
      <w:pPr>
        <w:pStyle w:val="Heading2"/>
        <w:spacing w:after="120" w:before="240"/>
      </w:pPr>
      <w:r>
        <w:rPr>
          <w:b/>
          <w:bCs/>
          <w:color w:val="2E74B5"/>
          <w:sz w:val="24"/>
          <w:szCs w:val="24"/>
        </w:rPr>
        <w:t xml:space="preserve">4.7 广新集团持股比例下降，部分变动与可交换债券安排有关</w:t>
      </w:r>
    </w:p>
    <w:p>
      <w:pPr>
        <w:spacing w:after="160" w:line="300"/>
      </w:pPr>
      <w:r>
        <w:rPr>
          <w:sz w:val="22"/>
          <w:szCs w:val="22"/>
        </w:rPr>
        <w:t xml:space="preserve">截至2026年6月30日，广东省广新控股集团有限公司持有生益科技547,979,502股，持股比例为22.56%，较报告期初减少24,291,188股，仍为公司第一大股东。广新集团因发行可交换公司债券，将2000万股生益科技股票划入“广新集团—中信证券—26GXKEB1担保及信托财产专户”，约占公司总股本0.82%，用于可交换债券的换股及本息偿付保障。因此，广新集团持股变化不能简单全部理解为二级市场减持，后续需关注可交换债券换股安排及广新集团公告。</w:t>
      </w:r>
    </w:p>
    <w:p>
      <w:pPr>
        <w:pStyle w:val="Heading2"/>
        <w:spacing w:after="120" w:before="240"/>
      </w:pPr>
      <w:r>
        <w:rPr>
          <w:b/>
          <w:bCs/>
          <w:color w:val="2E74B5"/>
          <w:sz w:val="24"/>
          <w:szCs w:val="24"/>
        </w:rPr>
        <w:t xml:space="preserve">4.8 董事长陈仁喜减持计划仍处于执行窗口期</w:t>
      </w:r>
    </w:p>
    <w:p>
      <w:pPr>
        <w:spacing w:after="160" w:line="300"/>
      </w:pPr>
      <w:r>
        <w:rPr>
          <w:sz w:val="22"/>
          <w:szCs w:val="22"/>
        </w:rPr>
        <w:t xml:space="preserve">公司于2026年5月30日披露董事减持计划，董事长陈仁喜拟通过集中竞价方式减持不超过335,762股，占公司总股本不超过0.0138%，减持期间为2026年6月23日至2026年9月22日，减持原因为个人资金需求。截至2026年8月6日，陈仁喜尚未减持公司股票。截至2026年9月11日，减持窗口尚未到期，后续是否实施、实际减持数量和价格仍存在不确定性。</w:t>
      </w:r>
    </w:p>
    <w:p>
      <w:pPr>
        <w:pStyle w:val="Heading2"/>
        <w:spacing w:after="120" w:before="240"/>
      </w:pPr>
      <w:r>
        <w:rPr>
          <w:b/>
          <w:bCs/>
          <w:color w:val="2E74B5"/>
          <w:sz w:val="24"/>
          <w:szCs w:val="24"/>
        </w:rPr>
        <w:t xml:space="preserve">4.9 股权激励限制性股票回购注销，不属于市场化股份回购</w:t>
      </w:r>
    </w:p>
    <w:p>
      <w:pPr>
        <w:spacing w:after="160" w:line="300"/>
      </w:pPr>
      <w:r>
        <w:rPr>
          <w:sz w:val="22"/>
          <w:szCs w:val="22"/>
        </w:rPr>
        <w:t xml:space="preserve">2026年7月10日，公司披露股权激励限制性股票回购注销实施公告。半年报显示，公司于2026年7月14日实施回购注销限制性股票115,560股。该事项属于2024年度限制性股票激励计划项下部分已获授但尚未解除限售股份的回购注销，不是公司以自有资金在二级市场进行的普通股份回购。截至2026年9月11日，未检索到公司在2026年9月发布新的现金回购或股份回购计划公告。</w:t>
      </w:r>
    </w:p>
    <w:p>
      <w:pPr>
        <w:pStyle w:val="Heading2"/>
        <w:spacing w:after="120" w:before="240"/>
      </w:pPr>
      <w:r>
        <w:rPr>
          <w:b/>
          <w:bCs/>
          <w:color w:val="2E74B5"/>
          <w:sz w:val="24"/>
          <w:szCs w:val="24"/>
        </w:rPr>
        <w:t xml:space="preserve">4.10 日常关联交易及关联交易预计额度调整</w:t>
      </w:r>
    </w:p>
    <w:p>
      <w:pPr>
        <w:spacing w:after="160" w:line="300"/>
      </w:pPr>
      <w:r>
        <w:rPr>
          <w:sz w:val="22"/>
          <w:szCs w:val="22"/>
        </w:rPr>
        <w:t xml:space="preserve">2026年8月15日，公司披露2026年半年度日常关联交易情况及增加2026年度日常关联交易预计额度的公告。公开信息显示，报告期内涉及与浙江蛮酷科技有限公司的关联销售交易，金额约8.64万元；与联营公司广东佛智芯微电子有限公司发生两笔销售商品交易，合计约26.19万元。根据目前检索到的金额，上述交易金额较小，暂未发现对公司整体经营和财务状况构成重大影响的关联交易；完整年度预计额度应以公司正式公告正文为准。</w:t>
      </w:r>
    </w:p>
    <w:p>
      <w:pPr>
        <w:pStyle w:val="Heading2"/>
        <w:spacing w:after="120" w:before="240"/>
      </w:pPr>
      <w:r>
        <w:rPr>
          <w:b/>
          <w:bCs/>
          <w:color w:val="2E74B5"/>
          <w:sz w:val="24"/>
          <w:szCs w:val="24"/>
        </w:rPr>
        <w:t xml:space="preserve">4.11 近期未检索到新增重大并购、重组及监管事项</w:t>
      </w:r>
    </w:p>
    <w:p>
      <w:pPr>
        <w:spacing w:after="160" w:line="300"/>
      </w:pPr>
      <w:r>
        <w:rPr>
          <w:sz w:val="22"/>
          <w:szCs w:val="22"/>
        </w:rPr>
        <w:t xml:space="preserve">截至2026年9月11日，未检索到公司在2026年9月新增重大并购、重大资产重组、控制权变更、监管处罚或监管问询公告。近期资本运作中较接近资产处置的事项为拟处置所持联瑞新材可转债，该事项不构成重大资产重组，也不属于收购新的经营性资产。</w:t>
      </w:r>
    </w:p>
    <w:p>
      <w:pPr>
        <w:pStyle w:val="Heading2"/>
        <w:spacing w:after="120" w:before="240"/>
      </w:pPr>
      <w:r>
        <w:rPr>
          <w:b/>
          <w:bCs/>
          <w:color w:val="2E74B5"/>
          <w:sz w:val="24"/>
          <w:szCs w:val="24"/>
        </w:rPr>
        <w:t xml:space="preserve">4.12 截至2026年9月11日公司最新正式公告情况</w:t>
      </w:r>
    </w:p>
    <w:p>
      <w:pPr>
        <w:spacing w:after="160" w:line="300"/>
      </w:pPr>
      <w:r>
        <w:rPr>
          <w:sz w:val="22"/>
          <w:szCs w:val="22"/>
        </w:rPr>
        <w:t xml:space="preserve">公司官网公告列表显示，截至2026年9月11日，最近一笔公司公告为2026年8月26日发布的《关于湖南绿晟环保股份有限公司及其下属公司互相提供担保的进展公告》。暂未检索到2026年9月1日至9月11日期间新的600183公司正式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生益科技（600183.SH）</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148.43元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上涨1.47元，涨幅1.00%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143.55元/150.30元/138.43元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约79.62百万股，约79.62万手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约115.16亿元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3.30%/1.18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约3605.37亿元/约3579.76亿元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191.88元/51.07元；低点数据与其他来源显示的45.11元存在差异，本纪要采用51.07元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最近10个交易日收盘价区间为137.50~153.40元；最近5个交易日收盘价区间为146.28~148.43元，日内高低点区间为138.43~151.88元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8月31日冲高至153.40元后快速回落，9月7日上涨7.75%后在146~150元附近震荡；日内波动较大，短线多空分歧明显</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均线系统（平台口径）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MA5/MA10/MA20/MA50/MA100/MA200分别为144.06/145.76/146.94/145.79/139.88/132.10元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收盘价高于主要短期及中长期均线，但相对中长期均线偏离度较大，短期处于高位震荡状态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均线系统（按公开收盘价重算）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MA5约147.60元、MA10约146.15元、MA20约140.09元；与平台MA20约146.94元存在口径差异</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按重算结果，收盘价仍高于MA5、MA10和MA20；9月11日盘中最低价跌破140元附近MA20区域后收回，显示该区域存在承接但盘中抛压较重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EMA均线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EMA5/EMA10/EMA20/EMA50/EMA100/EMA200分别为145.87/145.89/145.84/144.14/140.20/139.47元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现价高于各期EMA，短期价格仍处于均线之上，但不能据此推断单边上行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-0.21，平台评级为“卖出”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MACD为负但绝对值不大，短线动能偏弱，更接近反弹后的动能消化阶段，不能单独视为趋势反转信号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55.325，平台评级为“买入”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位于50上方，反映中短期强弱略偏多，但未达到传统意义上的极端超买区间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随机RSI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88.316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处于超买区域；若价格不能有效突破150~152元，存在震荡或回踩风险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其他动量指标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Ultimate Oscillator 48.391；ROC -0.088；按最近6个交易日涨跌幅简化计算的RSI6约在60附近</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短线偏强但并非全面强势；RSI6与平台RSI(14)周期不同，不能直接替代平台数据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布林带BOLL(20,2)</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基于2026年8月13日至9月11日收盘价估算：中轨约140.09元、上轨约157.67元、下轨约122.51元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收盘价位于中轨上方、通道中上部；157~158元附近构成上方压力观察区，140元附近为重要支撑，若失守则下方可观察122~126元区域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9月11日开盘一小时净流出约5.48亿元，午后一小时净流出约6.02亿元；9月10日收盘口径净流出约4.99亿元；9月9日收盘口径净流入约5.34亿元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9月9日净流入后，9月10日至11日出现净流出，短线资金面发生反转；9月11日虽上涨1.00%，但盘中振幅较大，不能简单视为资金持续流入。部分数据并非完整交易日，且平台口径可能存在差异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最近5日平均成交额约102.72亿元，最近5日平均换手率约2.90%，最近10日平均换手率约3.03%；9月11日成交额115.16亿元、换手率3.30%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整体流动性较好，近期成交额和日内波动均处于较高水平；若放量但不能突破150~152元，需观察高位换手压力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股东集中度与机构持仓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截至2026年6月30日，前十大股东合计持股约13.54亿股，占总股本约55.74%；前十大流通股东合计约14.06亿股，占流通股约58.71%。名单中包括公募基金、全国社保基金等机构，但单一公募及社保账户占比普遍较低</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三大股东合计持股约47.99%，股权结构较集中；但2026年二季度股东户数由171634户增至约343008户、户均持股由约13951股降至约6980股，筹码分散程度可能上升。股东数据距当前行情已有约两个半月，实际结构可能已变化</w:t>
            </w:r>
          </w:p>
        </w:tc>
      </w:tr>
    </w:tbl>
    <w:p>
      <w:pPr>
        <w:spacing w:before="200"/>
      </w:pPr>
    </w:p>
    <w:p>
      <w:pPr>
        <w:spacing w:after="160" w:line="300"/>
      </w:pPr>
      <w:r>
        <w:rPr>
          <w:sz w:val="22"/>
          <w:szCs w:val="22"/>
        </w:rPr>
        <w:t xml:space="preserve">截至2026年9月11日，生益科技收于148.43元，近期在9月7日快速反弹后于146~150元附近震荡，盘中振幅明显扩大。收盘价高于按近期收盘价重算的MA5、MA10和MA20，也高于平台披露的主要均线，布林位置处于中轨上方；但MACD为负、随机RSI处于超买区，且9月10日至11日主力资金数据转为净流出，表明短期更接近高位震荡与动能消化，而非无风险单边上行。当前技术面重点在于150~152元压力区、145~146.5元第一支撑区及138~140.5元强支撑区的有效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150.0~152.0元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参考9月9日至11日盘中高点151.88元、151.30元和150.30元，以及经典枢轴R1约151.67元；若有效突破152元并伴随成交额进一步放大，上方可观察157~158元附近前高及估算布林上轨区域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145.0~146.5元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接近近期多个收盘价、平台MA5/MA10区域及经典枢轴点145.98元；若在该区间缩量企稳，短线可能维持146~152元震荡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138.0~140.5元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包含9月11日盘中低点138.43元、自行计算MA20约140.09元及近期反弹位置；若有效跌破138元且成交额放大，下方可观察132~135元，进一步走弱时关注估算布林下轨122~126元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是基于当前技术形态和资金流向的主观启发式判断，不是统计学概率）：价格区间约145~152元。触发条件包括守住145元附近、成交额回落至近期常态约80~110亿元，以及150~152元区域多次冲高但未出现持续放量突破；对应9月7日快速上涨后的高位消化情形</w:t>
      </w:r>
    </w:p>
    <w:p>
      <w:pPr>
        <w:pStyle w:val="ListParagraph"/>
        <w:numPr>
          <w:ilvl w:val="0"/>
          <w:numId w:val="2"/>
        </w:numPr>
        <w:spacing w:after="80" w:line="280"/>
      </w:pPr>
      <w:r>
        <w:rPr>
          <w:sz w:val="22"/>
          <w:szCs w:val="22"/>
        </w:rPr>
        <w:t xml:space="preserve">偏弱下行（权重中等；属于主观启发式判断，不是统计学概率）：价格区间约132~145元。触发条件包括跌破145元后无法快速收回，并进一步跌破138~140元强支撑，同时主力资金继续较大规模净流出、单日成交额维持在110~120亿元以上；确认跌破138元后可观察132~135元区域</w:t>
      </w:r>
    </w:p>
    <w:p>
      <w:pPr>
        <w:pStyle w:val="ListParagraph"/>
        <w:numPr>
          <w:ilvl w:val="0"/>
          <w:numId w:val="2"/>
        </w:numPr>
        <w:spacing w:after="80" w:line="280"/>
      </w:pPr>
      <w:r>
        <w:rPr>
          <w:sz w:val="22"/>
          <w:szCs w:val="22"/>
        </w:rPr>
        <w:t xml:space="preserve">反弹走强（权重偏低至中等；属于主观启发式判断，不是统计学概率）：价格区间约152~158元。触发条件包括有效突破150~152元、连续收盘站稳152元上方，且单日成交额明显高于近期5日均值约103亿元；若成交额达到120亿元以上且主力资金转为持续净流入，突破有效性的确认度增强，上方观察157~158元区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5日平均成交额约102.72亿元，最近5日平均换手率约2.90%，最近10日平均换手率约3.03%；9月11日成交额约115.16亿元、换手率3.30%。公司总市值超过3600亿元，日成交额通常处于数十亿至百亿元级别，整体流动性较好，不属于低成交额小盘股。股东结构方面，截至2026年6月30日，前十大股东合计持股约55.74%，前十大流通股东合计约58.71%；名单中包括控股股东、地方国资、香港中央结算、公募基金和社保基金，但公募及社保单一账户占比较低，不能据此推断机构绝对控盘。同期股东户数明显增加、户均持股下降，说明筹码分散程度可能上升。上述股东数据距当前行情已有约两个半月，实际结构可能已经变化。实践上，当前流动性较好，但价格对资金方向较敏感；若放量不能突破压力区，需观察高位换手压力，若回踩支撑时成交额缩小，则抛压可能阶段性缓和。</w:t>
      </w:r>
    </w:p>
    <w:p>
      <w:pPr>
        <w:spacing w:after="160" w:line="300"/>
      </w:pPr>
      <w:r>
        <w:rPr>
          <w:sz w:val="22"/>
          <w:szCs w:val="22"/>
        </w:rPr>
        <w:t xml:space="preserve">可检查的量能信号是：若未来一周单日成交额连续达到120亿元以上、收盘价站稳152元上方，且主力资金不再连续净流出，可视为突破有效性的增强信号；若成交额达到120亿元以上但股价反而跌破140元，则更接近放量派发或弱势换手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观察150~152元压力区能否在成交额放大的配合下被有效突破；这是观察思路，非操作指令。</w:t>
      </w:r>
    </w:p>
    <w:p>
      <w:pPr>
        <w:pStyle w:val="ListParagraph"/>
        <w:numPr>
          <w:ilvl w:val="0"/>
          <w:numId w:val="2"/>
        </w:numPr>
        <w:spacing w:after="80" w:line="280"/>
      </w:pPr>
      <w:r>
        <w:rPr>
          <w:sz w:val="22"/>
          <w:szCs w:val="22"/>
        </w:rPr>
        <w:t xml:space="preserve">观察145~146.5元第一支撑区是否出现缩量企稳；这是观察思路，非操作指令。</w:t>
      </w:r>
    </w:p>
    <w:p>
      <w:pPr>
        <w:pStyle w:val="ListParagraph"/>
        <w:numPr>
          <w:ilvl w:val="0"/>
          <w:numId w:val="2"/>
        </w:numPr>
        <w:spacing w:after="80" w:line="280"/>
      </w:pPr>
      <w:r>
        <w:rPr>
          <w:sz w:val="22"/>
          <w:szCs w:val="22"/>
        </w:rPr>
        <w:t xml:space="preserve">观察138~140.5元强支撑区是否被有效跌破，以及跌破时成交额是否继续放大；这是观察思路，非操作指令。</w:t>
      </w:r>
    </w:p>
    <w:p>
      <w:pPr>
        <w:pStyle w:val="ListParagraph"/>
        <w:numPr>
          <w:ilvl w:val="0"/>
          <w:numId w:val="2"/>
        </w:numPr>
        <w:spacing w:after="80" w:line="280"/>
      </w:pPr>
      <w:r>
        <w:rPr>
          <w:sz w:val="22"/>
          <w:szCs w:val="22"/>
        </w:rPr>
        <w:t xml:space="preserve">跟踪单日成交额是否连续达到120亿元以上、主力资金是否由净流出转为持续净流入；这是观察思路，非操作指令。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覆铜板是PCB的核心基材，PCB又是通信设备、服务器、汽车电子、消费电子和工业控制设备的基础部件，覆铜板需求与电子行业及PCB行业景气度高度相关。行业具有较高集中度、较强技术和客户认证壁垒，同时受PCB需求、铜价、玻璃布供给、消费电子周期及产能投放节奏影响，呈现技术壁垒与周期属性并存的特征。</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根据Prismark数据，2024年全球覆铜板行业前五大厂商合计市场份额约55.8%，前十大厂商合计约77%，行业呈较明显寡头竞争格局。</w:t>
      </w:r>
    </w:p>
    <w:p>
      <w:pPr>
        <w:pStyle w:val="ListParagraph"/>
        <w:numPr>
          <w:ilvl w:val="0"/>
          <w:numId w:val="2"/>
        </w:numPr>
        <w:spacing w:after="80" w:line="280"/>
      </w:pPr>
      <w:r>
        <w:rPr>
          <w:sz w:val="22"/>
          <w:szCs w:val="22"/>
        </w:rPr>
        <w:t xml:space="preserve">2024年全球主要厂商份额：建滔积层板14.4%、生益科技13.7%、台光电材13.2%、南亚塑胶8.4%、松下电工6.1%、联茂电子6.1%、台燿科技4.6%、韩国斗山4.1%、金安国纪3.3%、南亚新材3.1%。不同机构可能因“刚性覆铜板”和“全部覆铜板”等统计口径差异而产生不同结果。</w:t>
      </w:r>
    </w:p>
    <w:p>
      <w:pPr>
        <w:pStyle w:val="ListParagraph"/>
        <w:numPr>
          <w:ilvl w:val="0"/>
          <w:numId w:val="2"/>
        </w:numPr>
        <w:spacing w:after="80" w:line="280"/>
      </w:pPr>
      <w:r>
        <w:rPr>
          <w:sz w:val="22"/>
          <w:szCs w:val="22"/>
        </w:rPr>
        <w:t xml:space="preserve">生益科技自2013年至2024年连续保持全球刚性覆铜板销售额第二，2024年全球市场份额为13.7%。</w:t>
      </w:r>
    </w:p>
    <w:p>
      <w:pPr>
        <w:pStyle w:val="ListParagraph"/>
        <w:numPr>
          <w:ilvl w:val="0"/>
          <w:numId w:val="2"/>
        </w:numPr>
        <w:spacing w:after="80" w:line="280"/>
      </w:pPr>
      <w:r>
        <w:rPr>
          <w:sz w:val="22"/>
          <w:szCs w:val="22"/>
        </w:rPr>
        <w:t xml:space="preserve">中国大陆企业在普通覆铜板领域已有较强规模和成本竞争力，在高频高速、封装载板和汽车电子等高端材料领域仍处于持续追赶和突破阶段。</w:t>
      </w:r>
    </w:p>
    <w:p>
      <w:pPr>
        <w:pStyle w:val="ListParagraph"/>
        <w:numPr>
          <w:ilvl w:val="0"/>
          <w:numId w:val="2"/>
        </w:numPr>
        <w:spacing w:after="80" w:line="280"/>
      </w:pPr>
      <w:r>
        <w:rPr>
          <w:sz w:val="22"/>
          <w:szCs w:val="22"/>
        </w:rPr>
        <w:t xml:space="preserve">需求结构由传统消费电子向AI服务器、数据中心、高速网络、智能汽车、自动驾驶和芯片封装迁移；高端领域对低损耗、高频高速、高耐热和高可靠性材料需求增长更快，技术和认证壁垒及供应商黏性通常高于普通覆铜板。</w:t>
      </w:r>
    </w:p>
    <w:p>
      <w:pPr>
        <w:pStyle w:val="ListParagraph"/>
        <w:numPr>
          <w:ilvl w:val="0"/>
          <w:numId w:val="2"/>
        </w:numPr>
        <w:spacing w:after="80" w:line="280"/>
      </w:pPr>
      <w:r>
        <w:rPr>
          <w:sz w:val="22"/>
          <w:szCs w:val="22"/>
        </w:rPr>
        <w:t xml:space="preserve">行业进入需要较大资本投入、长期工艺积累和客户验证周期；同时仍受需求、原材料价格及新增产能消化影响。</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建滔积层板控股有限公司（01888.HK）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全球覆铜板龙头，2024年全球市场份额约14.4%，排名第一。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规模、成本、客户覆盖和产业链整合优势突出，是生益科技最直接的全球竞争对手之一。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台光电材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台湾上市覆铜板企业，2024年全球市场份额约13.2%，排名全球前三。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在高速、高频、低损耗材料领域技术实力较强，重点竞争AI服务器、高速网络及高端PCB材料。</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南亚塑胶及南亚电子材料体系</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2024年全球市场份额约8.4%，具备集团化和产业链背景。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在覆铜板、电子材料等领域布局较深，优势包括集团资源、规模化制造和客户基础。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金安国纪（002636.SZ）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中国大陆覆铜板上市公司，2024年全球市场份额约3.3%。</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产品覆盖普通覆铜板、铝基覆铜板和半固化片等，在传统覆铜板及部分细分材料领域具备成本和规模竞争力。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南亚新材（688519.SH）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中国大陆高性能覆铜板企业，2024年全球市场份额约3.1%。</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主要布局高频高速覆铜板、IC载板材料和高端电子电路基材，是生益科技在中国大陆高端覆铜板市场的直接竞争者，但收入规模、产能规模和客户覆盖仍小于生益科技。</w:t>
            </w:r>
          </w:p>
        </w:tc>
      </w:tr>
    </w:tbl>
    <w:p>
      <w:pPr>
        <w:spacing w:before="200"/>
      </w:pPr>
    </w:p>
    <w:p>
      <w:pPr>
        <w:spacing w:after="160" w:line="300"/>
      </w:pPr>
      <w:r>
        <w:rPr>
          <w:sz w:val="22"/>
          <w:szCs w:val="22"/>
        </w:rPr>
        <w:t xml:space="preserve">生益科技在全球覆铜板市场排名第二，产品矩阵覆盖硬板、软板、封装材料及PCB制造，具备材料与PCB协同、国内客户覆盖、研发积累、多基地布局和柔性制造能力。建滔积层板的优势更偏向全球规模、成本及产业链整合；台光电材突出高频高速和高端服务器材料；南亚塑胶具备集团化资源和规模优势；金安国纪在传统覆铜板和成本竞争方面较强；南亚新材聚焦高端覆铜板和封装材料。生益科技未来竞争力取决于高频高速、汽车电子、AI服务器及封装材料等高端产品的客户认证和放量，同时仍需应对铜箔、玻璃布等原材料价格波动、普通产品价格竞争及新增产能消化压力。</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涨价和成本传导风险：铜箔、玻璃布等主要原材料在2025年已出现明显涨价，且部分阶段玻璃布供应紧缺。公司对上游大宗材料缺乏完全定价权，若材料价格继续快速上涨而覆铜板涨价或配方、工艺优化不能及时跟进，可能再次出现成本传导滞后和毛利率承压。</w:t>
      </w:r>
    </w:p>
    <w:p>
      <w:pPr>
        <w:pStyle w:val="ListParagraph"/>
        <w:numPr>
          <w:ilvl w:val="0"/>
          <w:numId w:val="2"/>
        </w:numPr>
        <w:spacing w:after="80" w:line="280"/>
      </w:pPr>
      <w:r>
        <w:rPr>
          <w:sz w:val="22"/>
          <w:szCs w:val="22"/>
        </w:rPr>
        <w:t xml:space="preserve">高端产品放量不及预期风险：当前增长较大程度依赖AI服务器、高速通信、数据中心、汽车电子及高附加值PCB产品。如果相关客户订单、认证进度或新增产能释放低于预期，可能影响覆铜板和印制线路板的收入增速、产能利用率及利润率。</w:t>
      </w:r>
    </w:p>
    <w:p>
      <w:pPr>
        <w:pStyle w:val="ListParagraph"/>
        <w:numPr>
          <w:ilvl w:val="0"/>
          <w:numId w:val="2"/>
        </w:numPr>
        <w:spacing w:after="80" w:line="280"/>
      </w:pPr>
      <w:r>
        <w:rPr>
          <w:sz w:val="22"/>
          <w:szCs w:val="22"/>
        </w:rPr>
        <w:t xml:space="preserve">行业价格竞争和产能消化风险：普通FR-4覆铜板及成熟消费电子产品竞争较为激烈，下游PCB客户对价格、交期和质量敏感；若需求修复不及预期或行业新增产能集中释放，产品价格和单位毛利可能承压，2025年较高的毛利率改善也可能难以持续。</w:t>
      </w:r>
    </w:p>
    <w:p>
      <w:pPr>
        <w:pStyle w:val="ListParagraph"/>
        <w:numPr>
          <w:ilvl w:val="0"/>
          <w:numId w:val="2"/>
        </w:numPr>
        <w:spacing w:after="80" w:line="280"/>
      </w:pPr>
      <w:r>
        <w:rPr>
          <w:sz w:val="22"/>
          <w:szCs w:val="22"/>
        </w:rPr>
        <w:t xml:space="preserve">利润结构和非经常性收益波动风险：2026年上半年归母净利润包含约4.07亿元联瑞新材可转债公允价值变动收益，扣非归母净利润低于归母净利润约3.79亿元。公司拟择机处置相关可转债，但处置时间、价格和最终收益尚未确定，未来投资收益及公允价值变动可能造成利润波动。</w:t>
      </w:r>
    </w:p>
    <w:p>
      <w:pPr>
        <w:pStyle w:val="ListParagraph"/>
        <w:numPr>
          <w:ilvl w:val="0"/>
          <w:numId w:val="2"/>
        </w:numPr>
        <w:spacing w:after="80" w:line="280"/>
      </w:pPr>
      <w:r>
        <w:rPr>
          <w:sz w:val="22"/>
          <w:szCs w:val="22"/>
        </w:rPr>
        <w:t xml:space="preserve">客户集中度和订单节奏风险：2025年公司披露有一个客户收入约39.24亿元，占集团收入约13.8%，客户名称及前五大客户合计占比未披露。通信、服务器及终端客户项目节奏变化，可能影响公司PCB及高端材料订单、产能利用率和盈利水平。</w:t>
      </w:r>
    </w:p>
    <w:p>
      <w:pPr>
        <w:pStyle w:val="ListParagraph"/>
        <w:numPr>
          <w:ilvl w:val="0"/>
          <w:numId w:val="2"/>
        </w:numPr>
        <w:spacing w:after="80" w:line="280"/>
      </w:pPr>
      <w:r>
        <w:rPr>
          <w:sz w:val="22"/>
          <w:szCs w:val="22"/>
        </w:rPr>
        <w:t xml:space="preserve">营运资金占用和回款风险：截至2025年末应收账款95.26亿元，占总资产29.07%，同比增长30.39%，约占当年营业收入33.5%；应付账款及应付票据合计约72.22亿元，低于应收账款。虽然2025年经营活动现金流净额为52.74亿元且高于净利润，但若收入快速增长伴随应收账款继续扩张，仍可能加大现金流和回款管理压力。</w:t>
      </w:r>
    </w:p>
    <w:p>
      <w:pPr>
        <w:pStyle w:val="ListParagraph"/>
        <w:numPr>
          <w:ilvl w:val="0"/>
          <w:numId w:val="2"/>
        </w:numPr>
        <w:spacing w:after="80" w:line="280"/>
      </w:pPr>
      <w:r>
        <w:rPr>
          <w:sz w:val="22"/>
          <w:szCs w:val="22"/>
        </w:rPr>
        <w:t xml:space="preserve">海外及新增基地建设风险：公司正在推进泰国覆铜板及粘结片生产基地建设，海外项目可能面临建设进度、产能爬坡、客户认证和经营管理等不确定性；若海外产能释放不及预期，可能影响全球化布局的投入产出效率。</w:t>
      </w:r>
    </w:p>
    <w:p>
      <w:pPr>
        <w:pStyle w:val="ListParagraph"/>
        <w:numPr>
          <w:ilvl w:val="0"/>
          <w:numId w:val="2"/>
        </w:numPr>
        <w:spacing w:after="80" w:line="280"/>
      </w:pPr>
      <w:r>
        <w:rPr>
          <w:sz w:val="22"/>
          <w:szCs w:val="22"/>
        </w:rPr>
        <w:t xml:space="preserve">估值和股价波动风险：截至2026年9月11日，公司总市值约3605亿元，按机构一致预期计算的2026年和2027年预测市盈率约为54倍和36倍，市场已计入较高增长预期。若业绩、涨价或AI相关高端产品放量低于预期，估值消化压力可能加大；同时股价近期处于高位震荡，150~152元附近若放量但未能突破，短期波动风险可能上升。</w:t>
      </w:r>
    </w:p>
    <w:p>
      <w:pPr>
        <w:pStyle w:val="ListParagraph"/>
        <w:numPr>
          <w:ilvl w:val="0"/>
          <w:numId w:val="2"/>
        </w:numPr>
        <w:spacing w:after="80" w:line="280"/>
      </w:pPr>
      <w:r>
        <w:rPr>
          <w:sz w:val="22"/>
          <w:szCs w:val="22"/>
        </w:rPr>
        <w:t xml:space="preserve">担保及下属公司经营风险：截至2026年8月26日，公司及下属公司对下属公司的累计担保总额为6.74亿元，占最近一期经审计净资产的4.03%，其中涉及资产负债率超过70%的被担保单位。虽然公告显示不存在逾期担保，但若相关下属公司融资或经营状况恶化，仍可能带来担保责任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生益科技的增长逻辑主要围绕电子材料高端化和下游需求结构升级展开。AI服务器、数据中心、高速网络、汽车电子及芯片封装等领域对低损耗、高频高速、高可靠性材料的需求增长，为公司覆铜板、PCB及封装相关材料提供扩容空间；同时，材料国产化、集团采购、工艺优化、产能利用率提升及产品涨价，有助于缓解铜箔、玻璃布等原材料涨价压力。公司全球覆铜板市场份额和规模优势，以及材料与PCB业务协同，构成其进一步提升高端产品占比的基础。</w:t>
      </w:r>
    </w:p>
    <w:p>
      <w:pPr>
        <w:spacing w:after="160" w:line="300"/>
      </w:pPr>
      <w:r>
        <w:rPr>
          <w:sz w:val="22"/>
          <w:szCs w:val="22"/>
        </w:rPr>
        <w:t xml:space="preserve">未来业绩能否继续高增长，取决于高端高速材料和高附加值PCB订单的兑现速度、客户认证及产能释放情况，也取决于原材料成本传导和普通覆铜板价格竞争的变化。机构对2026年归母净利润预测区间为35.71亿元至85.01亿元，分歧较大，反映市场对AI材料放量、PCB利润率、涨价持续性和海外客户订单存在不同判断。</w:t>
      </w:r>
    </w:p>
    <w:p>
      <w:pPr>
        <w:spacing w:after="160" w:line="300"/>
      </w:pPr>
      <w:r>
        <w:rPr>
          <w:sz w:val="22"/>
          <w:szCs w:val="22"/>
        </w:rPr>
        <w:t xml:space="preserve">公司当前估值和股价波动水平较高，后续基本面表现需要与较高市场预期相匹配。技术面上，150~152元为短期压力观察区，145~146.5元为第一支撑区域，138~140.5元为较强支撑区域；这些价位仅反映当前技术数据下的市场状态，不代表确定性走势。综合而言，公司中长期增长基础较强，但短期表现仍取决于业绩兑现、估值消化、资金流向及行业景气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生益科技(600183)_公司公告_生益科技：2025年年度报告新浪财经_新浪网 — https://money.finance.sina.com.cn/corp/view/vCB_AllBulletinDetail.php?id=12198074&amp;stockid=600183</w:t>
      </w:r>
    </w:p>
    <w:p>
      <w:pPr>
        <w:spacing w:after="200"/>
      </w:pPr>
      <w:r>
        <w:rPr>
          <w:i/>
          <w:iCs/>
          <w:color w:val="595959"/>
          <w:sz w:val="18"/>
          <w:szCs w:val="18"/>
        </w:rPr>
        <w:t xml:space="preserve">https://pdf.dfcfw.com/pdf/H2_AN202503031643998229_1.pdf — https://pdf.dfcfw.com/pdf/H2_AN202503031643998229_1.pdf</w:t>
      </w:r>
    </w:p>
    <w:p>
      <w:pPr>
        <w:spacing w:after="200"/>
      </w:pPr>
      <w:r>
        <w:rPr>
          <w:i/>
          <w:iCs/>
          <w:color w:val="595959"/>
          <w:sz w:val="18"/>
          <w:szCs w:val="18"/>
        </w:rPr>
        <w:t xml:space="preserve">生益科技(600183)_公司公告_生益科技：2023年年度报告新浪财经_新浪网 — https://vip.stock.finance.sina.com.cn/corp/view/vCB_AllBulletinDetail.php?id=9916547&amp;stockid=600183&amp;utm_source=openai</w:t>
      </w:r>
    </w:p>
    <w:p>
      <w:pPr>
        <w:spacing w:after="200"/>
      </w:pPr>
      <w:r>
        <w:rPr>
          <w:i/>
          <w:iCs/>
          <w:color w:val="595959"/>
          <w:sz w:val="18"/>
          <w:szCs w:val="18"/>
        </w:rPr>
        <w:t xml:space="preserve">生益科技(600183)年度数据分析-中商产业研究院数据库-中商情报网 — https://s.askci.com/stock/financialanalysis/600183/?utm_source=openai</w:t>
      </w:r>
    </w:p>
    <w:p>
      <w:pPr>
        <w:spacing w:after="200"/>
      </w:pPr>
      <w:r>
        <w:rPr>
          <w:i/>
          <w:iCs/>
          <w:color w:val="595959"/>
          <w:sz w:val="18"/>
          <w:szCs w:val="18"/>
        </w:rPr>
        <w:t xml:space="preserve">鹰眼预警：生益科技销售毛利率大幅增长|归母净利润|盈利能力|财报|审计|分红_手机新浪网 — https://finance.sina.cn/2026-04-25/detail-inhvtryz3960463.d.html?utm_source=openai</w:t>
      </w:r>
    </w:p>
    <w:p>
      <w:pPr>
        <w:spacing w:after="200"/>
      </w:pPr>
      <w:r>
        <w:rPr>
          <w:i/>
          <w:iCs/>
          <w:color w:val="595959"/>
          <w:sz w:val="18"/>
          <w:szCs w:val="18"/>
        </w:rPr>
        <w:t xml:space="preserve">https://disc.static.szse.cn/disc/disk03/finalpage/2026-04-01/1c0bd8fb-2f0f-4256-bde9-e151bdb8ff8c.PDF — https://disc.static.szse.cn/disc/disk03/finalpage/2026-04-01/1c0bd8fb-2f0f-4256-bde9-e151bdb8ff8c.PDF</w:t>
      </w:r>
    </w:p>
    <w:p>
      <w:pPr>
        <w:spacing w:after="200"/>
      </w:pPr>
      <w:r>
        <w:rPr>
          <w:i/>
          <w:iCs/>
          <w:color w:val="595959"/>
          <w:sz w:val="18"/>
          <w:szCs w:val="18"/>
        </w:rPr>
        <w:t xml:space="preserve">「生益科技」600183.SH - 广东生益科技股份有限公司 - 上海证券交易所主板 - A股 - 准上市 — https://www.zhunshangshi.com/stock/600183/?utm_source=openai</w:t>
      </w:r>
    </w:p>
    <w:p>
      <w:pPr>
        <w:spacing w:after="200"/>
      </w:pPr>
      <w:r>
        <w:rPr>
          <w:i/>
          <w:iCs/>
          <w:color w:val="595959"/>
          <w:sz w:val="18"/>
          <w:szCs w:val="18"/>
        </w:rPr>
        <w:t xml:space="preserve">生益科技(600183)_公司公告_生益科技：2026年半年度报告摘要新浪财经_新浪网 — https://money.finance.sina.com.cn/corp/view/vCB_AllBulletinDetail.php?id=12496807&amp;stockid=600183&amp;utm_source=openai</w:t>
      </w:r>
    </w:p>
    <w:p>
      <w:pPr>
        <w:spacing w:after="200"/>
      </w:pPr>
      <w:r>
        <w:rPr>
          <w:i/>
          <w:iCs/>
          <w:color w:val="595959"/>
          <w:sz w:val="18"/>
          <w:szCs w:val="18"/>
        </w:rPr>
        <w:t xml:space="preserve">生益科技(600183)2025年报点评：业绩持续高增 高端产品加速放量__新浪财经_新浪网 — https://stock.finance.sina.com.cn/stock/go.php/vReport_Show/kind/search/rptid/831401552574/index.phtml?utm_source=openai</w:t>
      </w:r>
    </w:p>
    <w:p>
      <w:pPr>
        <w:spacing w:after="200"/>
      </w:pPr>
      <w:r>
        <w:rPr>
          <w:i/>
          <w:iCs/>
          <w:color w:val="595959"/>
          <w:sz w:val="18"/>
          <w:szCs w:val="18"/>
        </w:rPr>
        <w:t xml:space="preserve">生益科技(600183) 盈利预测_F10_同花顺金融服务网 — https://basic.10jqka.com.cn/600183/worth.html?utm_source=openai</w:t>
      </w:r>
    </w:p>
    <w:p>
      <w:pPr>
        <w:spacing w:after="200"/>
      </w:pPr>
      <w:r>
        <w:rPr>
          <w:i/>
          <w:iCs/>
          <w:color w:val="595959"/>
          <w:sz w:val="18"/>
          <w:szCs w:val="18"/>
        </w:rPr>
        <w:t xml:space="preserve">生益科技(600183)：AI期权加速兑现助力业绩高增__新浪财经_新浪网 — https://stock.finance.sina.com.cn/stock/go.php/vReport_Show/kind/search/rptid/840895528819/index.phtml?utm_source=openai</w:t>
      </w:r>
    </w:p>
    <w:p>
      <w:pPr>
        <w:spacing w:after="200"/>
      </w:pPr>
      <w:r>
        <w:rPr>
          <w:i/>
          <w:iCs/>
          <w:color w:val="595959"/>
          <w:sz w:val="18"/>
          <w:szCs w:val="18"/>
        </w:rPr>
        <w:t xml:space="preserve">生益科技(600183)：高端占比持续提升 中报业绩达指引上沿__新浪财经_新浪网 — https://stock.finance.sina.com.cn/stock/go.php/vReport_Show/kind/search/rptid/841576829587/index.phtml?utm_source=openai</w:t>
      </w:r>
    </w:p>
    <w:p>
      <w:pPr>
        <w:spacing w:after="200"/>
      </w:pPr>
      <w:r>
        <w:rPr>
          <w:i/>
          <w:iCs/>
          <w:color w:val="595959"/>
          <w:sz w:val="18"/>
          <w:szCs w:val="18"/>
        </w:rPr>
        <w:t xml:space="preserve">太平洋证券-生益科技(600183)产品结构优化，业绩爆发式增长-260524.pdf — https://pdf.dfcfw.com/pdf/H3_AP202605271822915980_1.pdf?1779903031000.pdf=&amp;utm_source=openai</w:t>
      </w:r>
    </w:p>
    <w:p>
      <w:pPr>
        <w:spacing w:after="200"/>
      </w:pPr>
      <w:r>
        <w:rPr>
          <w:i/>
          <w:iCs/>
          <w:color w:val="595959"/>
          <w:sz w:val="18"/>
          <w:szCs w:val="18"/>
        </w:rPr>
        <w:t xml:space="preserve">高盛看好生益科技：目标价上调至127.4元，AI CCL涨价潮重估材料龙头|高盛_新浪财经_新浪网 — https://finance.sina.com.cn/stock/hkstock/marketalerts/2026-05-22/doc-inhyvhtz7324841.shtml?utm_source=openai</w:t>
      </w:r>
    </w:p>
    <w:p>
      <w:pPr>
        <w:spacing w:after="200"/>
      </w:pPr>
      <w:r>
        <w:rPr>
          <w:i/>
          <w:iCs/>
          <w:color w:val="595959"/>
          <w:sz w:val="18"/>
          <w:szCs w:val="18"/>
        </w:rPr>
        <w:t xml:space="preserve">Shengyi Technology Co Ltd (600183)歷史價格 - Investing.com — https://hk.investing.com/equities/shengyi-tech-historical-data?utm_source=openai</w:t>
      </w:r>
    </w:p>
    <w:p>
      <w:pPr>
        <w:spacing w:after="200"/>
      </w:pPr>
      <w:r>
        <w:rPr>
          <w:i/>
          <w:iCs/>
          <w:color w:val="595959"/>
          <w:sz w:val="18"/>
          <w:szCs w:val="18"/>
        </w:rPr>
        <w:t xml:space="preserve">生益科技 — https://www.syst.com.cn/cn/gsgg/list_45.aspx?utm_source=openai</w:t>
      </w:r>
    </w:p>
    <w:p>
      <w:pPr>
        <w:spacing w:after="200"/>
      </w:pPr>
      <w:r>
        <w:rPr>
          <w:i/>
          <w:iCs/>
          <w:color w:val="595959"/>
          <w:sz w:val="18"/>
          <w:szCs w:val="18"/>
        </w:rPr>
        <w:t xml:space="preserve">生益科技(600183)_公司公告_生益科技：2026年半年度报告新浪财经_新浪网 — https://vip.stock.finance.sina.com.cn/corp/view/vCB_AllBulletinDetail.php?id=12496809&amp;stockid=600183</w:t>
      </w:r>
    </w:p>
    <w:p>
      <w:pPr>
        <w:spacing w:after="200"/>
      </w:pPr>
      <w:r>
        <w:rPr>
          <w:i/>
          <w:iCs/>
          <w:color w:val="595959"/>
          <w:sz w:val="18"/>
          <w:szCs w:val="18"/>
        </w:rPr>
        <w:t xml:space="preserve">生益科技(600183)业绩公告_生益科技历史业绩报告_证券之星 — https://stock.quote.stockstar.com/finance/performance_600183.shtml?utm_source=openai</w:t>
      </w:r>
    </w:p>
    <w:p>
      <w:pPr>
        <w:spacing w:after="200"/>
      </w:pPr>
      <w:r>
        <w:rPr>
          <w:i/>
          <w:iCs/>
          <w:color w:val="595959"/>
          <w:sz w:val="18"/>
          <w:szCs w:val="18"/>
        </w:rPr>
        <w:t xml:space="preserve">证券代码：600183  证券简称：生益科技  公告编号：2026-045 — https://static.cninfo.com.cn/finalpage/2026-07-15/1225424289.PDF?utm_source=openai</w:t>
      </w:r>
    </w:p>
    <w:p>
      <w:pPr>
        <w:spacing w:after="200"/>
      </w:pPr>
      <w:r>
        <w:rPr>
          <w:i/>
          <w:iCs/>
          <w:color w:val="595959"/>
          <w:sz w:val="18"/>
          <w:szCs w:val="18"/>
        </w:rPr>
        <w:t xml:space="preserve">证券代码：600183 证券简称：生益科技 公告编号：2026-054_新浪财经_新浪网 — https://finance.sina.com.cn/jjxw/2026-08-26/doc-inipqsxy1242491.shtml?utm_source=openai</w:t>
      </w:r>
    </w:p>
    <w:p>
      <w:pPr>
        <w:spacing w:after="200"/>
      </w:pPr>
      <w:r>
        <w:rPr>
          <w:i/>
          <w:iCs/>
          <w:color w:val="595959"/>
          <w:sz w:val="18"/>
          <w:szCs w:val="18"/>
        </w:rPr>
        <w:t xml:space="preserve">（三）媒体报道、市场传闻、热点概念情况 — https://static.cninfo.com.cn/finalpage/2026-08-07/1225462224.PDF?utm_source=openai</w:t>
      </w:r>
    </w:p>
    <w:p>
      <w:pPr>
        <w:spacing w:after="200"/>
      </w:pPr>
      <w:r>
        <w:rPr>
          <w:i/>
          <w:iCs/>
          <w:color w:val="595959"/>
          <w:sz w:val="18"/>
          <w:szCs w:val="18"/>
        </w:rPr>
        <w:t xml:space="preserve">股票简称：生益科技
股票代码：600183
公告编号：2026—012
广东生益科技股份有限公司
关 — https://pdf.dfcfw.com/pdf/H2_AN202603131820549273_1.pdf?utm_source=openai</w:t>
      </w:r>
    </w:p>
    <w:p>
      <w:pPr>
        <w:spacing w:after="200"/>
      </w:pPr>
      <w:r>
        <w:rPr>
          <w:i/>
          <w:iCs/>
          <w:color w:val="595959"/>
          <w:sz w:val="18"/>
          <w:szCs w:val="18"/>
        </w:rPr>
        <w:t xml:space="preserve">https://epaper.stcn.com/pic/202605/30/e95716073ffbea78d19eeb7ee5462d11.pdf?u_asig=5ea90&amp;u_atoken=ac41853e1e5dd27802a4d8d3d705c744 — https://epaper.stcn.com/pic/202605/30/e95716073ffbea78d19eeb7ee5462d11.pdf?u_asig=5ea90&amp;u_atoken=ac41853e1e5dd27802a4d8d3d705c744</w:t>
      </w:r>
    </w:p>
    <w:p>
      <w:pPr>
        <w:spacing w:after="200"/>
      </w:pPr>
      <w:r>
        <w:rPr>
          <w:i/>
          <w:iCs/>
          <w:color w:val="595959"/>
          <w:sz w:val="18"/>
          <w:szCs w:val="18"/>
        </w:rPr>
        <w:t xml:space="preserve">生益科技_ 个股日历 _ 东方财富网_ 数据频道 — https://data.eastmoney.com/stockcalendar/600183.html?utm_source=openai</w:t>
      </w:r>
    </w:p>
    <w:p>
      <w:pPr>
        <w:spacing w:after="200"/>
      </w:pPr>
      <w:r>
        <w:rPr>
          <w:i/>
          <w:iCs/>
          <w:color w:val="595959"/>
          <w:sz w:val="18"/>
          <w:szCs w:val="18"/>
        </w:rPr>
        <w:t xml:space="preserve">本报告由AI基于公开渠道信息自动检索、整理并生成，信息截至 截至2026年9月11日收盘；技术指标、成交量及资金流数据主要对应2026年9月11日，股东结构数据截至2026年6月30日，公告披露日期为2026年8月15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2026-09-13T13:53:11.397Z</dcterms:created>
  <dcterms:modified xsi:type="dcterms:W3CDTF">2026-09-13T13:53:11.397Z</dcterms:modified>
</cp:coreProperties>
</file>

<file path=docProps/custom.xml><?xml version="1.0" encoding="utf-8"?>
<Properties xmlns="http://schemas.openxmlformats.org/officeDocument/2006/custom-properties" xmlns:vt="http://schemas.openxmlformats.org/officeDocument/2006/docPropsVTypes"/>
</file>