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金宇生物技术股份有限公司（生物股份） (600201)</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行业：兽用生物制品</w:t>
      </w:r>
    </w:p>
    <w:p>
      <w:pPr>
        <w:jc w:val="center"/>
      </w:pPr>
      <w:r>
        <w:rPr>
          <w:color w:val="595959"/>
          <w:sz w:val="22"/>
          <w:szCs w:val="22"/>
        </w:rPr>
        <w:t xml:space="preserve">报告日期：2026年9月13日</w:t>
      </w:r>
    </w:p>
    <w:p>
      <w:pPr>
        <w:jc w:val="center"/>
      </w:pPr>
      <w:r>
        <w:rPr>
          <w:color w:val="595959"/>
          <w:sz w:val="20"/>
          <w:szCs w:val="20"/>
        </w:rPr>
        <w:t xml:space="preserve">数据截至2026年9月11日收盘；52周高低点数据截至2026年9月10日至9月11日可交叉核实，但对应精确交易日期未可靠确认。</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生物股份2026年上半年实现营业收入7.56亿元，同比增长22.09%；归母净利润1.04亿元，同比增长72.28%；扣非归母净利润约8969万元，同比增长178.61%，业绩增长主要来自反刍动物和宠物动保业务、新产品上市、产业并购协同以及费用和制造成本优化。相比之下，公司2025年全年收入增长11.23%，但归母净利润下降8.14%，显示2026年上半年利润修复具有较明显的阶段性改善特征。</w:t>
      </w:r>
    </w:p>
    <w:p>
      <w:pPr>
        <w:spacing w:after="160" w:line="300"/>
      </w:pPr>
      <w:r>
        <w:rPr>
          <w:sz w:val="22"/>
          <w:szCs w:val="22"/>
        </w:rPr>
        <w:t xml:space="preserve">公司主营仍高度集中于兽用生物制品，2025年生物制药业务收入占营业收入约92.67%，毛利率54.78%，研发投入1.74亿元、占营业收入12.49%。公司具备口蹄疫等强制免疫疫苗资质、三大智能制造主体、ABSL-3实验室及较完整的动物疫苗研发平台，产品覆盖猪、禽、反刍动物和宠物，但政府采购价格竞争、非强制免疫产品同质化及大型养殖客户议价压力仍然存在。</w:t>
      </w:r>
    </w:p>
    <w:p>
      <w:pPr>
        <w:spacing w:after="160" w:line="300"/>
      </w:pPr>
      <w:r>
        <w:rPr>
          <w:sz w:val="22"/>
          <w:szCs w:val="22"/>
        </w:rPr>
        <w:t xml:space="preserve">业绩改善尚需观察持续性：2026年上半年经营活动现金流净额约5102万元，同比下降42.63%，而2025年末应收账款5.91亿元、约占营业收入42.3%，销售端资金占用仍较明显。公司已完成约3亿元股份回购，回购股份占回购前总股本约2.17%，但截至2026年9月11日股价为11.69元，低于MA5、MA10和MA20，短中期技术形态偏弱；按不同平台口径，市盈率约为61.76倍至95倍，估值对后续盈利兑现仍较敏感。</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证券代码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600201</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生物股份</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所属行业</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医药制造业，细分为兽用药品制造业</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主营方向</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兽用生物制品的研发、生产与销售</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核心产品覆盖</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猪、禽、反刍动物和宠物四大系列，拥有百余种动物疫苗产品</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2025年生物制药业务</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收入129,404.70万元，占公司营业收入约92.67%，毛利率54.78%</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2025年主营业务收入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134,265.18万元，同比增长9.57%</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2025年研发投入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1.74亿元，占营业收入12.49%；研发人员311人，占公司总人数19%</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主要生产主体</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金宇保灵、金宇优邦、金宇益康三大动物疫苗智能制造生产主体</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核心研发与资质资源</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ABSL-3实验室、兽用疫苗国家工程实验室、农业部反刍动物生物制品重点实验室，以及多个疫苗研发平台</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猪用疫苗，包括口蹄疫疫苗、猪伪狂犬活疫苗、猪瘟活疫苗、猪圆环疫苗等</w:t>
      </w:r>
    </w:p>
    <w:p>
      <w:pPr>
        <w:pStyle w:val="ListParagraph"/>
        <w:numPr>
          <w:ilvl w:val="0"/>
          <w:numId w:val="2"/>
        </w:numPr>
        <w:spacing w:after="80" w:line="280"/>
      </w:pPr>
      <w:r>
        <w:rPr>
          <w:sz w:val="22"/>
          <w:szCs w:val="22"/>
        </w:rPr>
        <w:t xml:space="preserve">禽用疫苗，包括高致病性禽流感疫苗等</w:t>
      </w:r>
    </w:p>
    <w:p>
      <w:pPr>
        <w:pStyle w:val="ListParagraph"/>
        <w:numPr>
          <w:ilvl w:val="0"/>
          <w:numId w:val="2"/>
        </w:numPr>
        <w:spacing w:after="80" w:line="280"/>
      </w:pPr>
      <w:r>
        <w:rPr>
          <w:sz w:val="22"/>
          <w:szCs w:val="22"/>
        </w:rPr>
        <w:t xml:space="preserve">反刍动物疫苗，包括牛二联灭活疫苗等</w:t>
      </w:r>
    </w:p>
    <w:p>
      <w:pPr>
        <w:pStyle w:val="ListParagraph"/>
        <w:numPr>
          <w:ilvl w:val="0"/>
          <w:numId w:val="2"/>
        </w:numPr>
        <w:spacing w:after="80" w:line="280"/>
      </w:pPr>
      <w:r>
        <w:rPr>
          <w:sz w:val="22"/>
          <w:szCs w:val="22"/>
        </w:rPr>
        <w:t xml:space="preserve">宠物疫苗，包括狂犬疫苗、猫三联疫苗等</w:t>
      </w:r>
    </w:p>
    <w:p>
      <w:pPr>
        <w:pStyle w:val="ListParagraph"/>
        <w:numPr>
          <w:ilvl w:val="0"/>
          <w:numId w:val="2"/>
        </w:numPr>
        <w:spacing w:after="80" w:line="280"/>
      </w:pPr>
      <w:r>
        <w:rPr>
          <w:sz w:val="22"/>
          <w:szCs w:val="22"/>
        </w:rPr>
        <w:t xml:space="preserve">疫病检测、免疫规划、技术服务和动物疫病防控整体解决方案</w:t>
      </w:r>
    </w:p>
    <w:p>
      <w:pPr>
        <w:pStyle w:val="ListParagraph"/>
        <w:numPr>
          <w:ilvl w:val="0"/>
          <w:numId w:val="2"/>
        </w:numPr>
        <w:spacing w:after="80" w:line="280"/>
      </w:pPr>
      <w:r>
        <w:rPr>
          <w:sz w:val="22"/>
          <w:szCs w:val="22"/>
        </w:rPr>
        <w:t xml:space="preserve">其他业务，2025年收入4,860.48万元，毛利率7.50%</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生物股份位于动物保健产业链中游偏上位置。公司不是单纯的低附加值疫苗代工企业，而是具备研发平台、强制免疫疫苗资质、智能制造基地、产品注册能力和动物疫病防控服务能力的中游技术型企业。</w:t>
      </w:r>
    </w:p>
    <w:p>
      <w:pPr>
        <w:pStyle w:val="ListParagraph"/>
        <w:numPr>
          <w:ilvl w:val="0"/>
          <w:numId w:val="2"/>
        </w:numPr>
        <w:spacing w:after="80" w:line="280"/>
      </w:pPr>
      <w:r>
        <w:rPr>
          <w:sz w:val="22"/>
          <w:szCs w:val="22"/>
        </w:rPr>
        <w:t xml:space="preserve">公司上游采购主要服务于动物疫苗研发和生产。2025年生物制药业务成本中，原材料成本1.9660亿元，占生物制药成本33.60%；制造费用2.9867亿元，占51.04%；人工费用5,038.38万元，占8.61%；包装费2,130.74万元，占3.64%。</w:t>
      </w:r>
    </w:p>
    <w:p>
      <w:pPr>
        <w:pStyle w:val="ListParagraph"/>
        <w:numPr>
          <w:ilvl w:val="0"/>
          <w:numId w:val="2"/>
        </w:numPr>
        <w:spacing w:after="80" w:line="280"/>
      </w:pPr>
      <w:r>
        <w:rPr>
          <w:sz w:val="22"/>
          <w:szCs w:val="22"/>
        </w:rPr>
        <w:t xml:space="preserve">年报未进一步披露原材料具体采购明细，因此无法确认培养基、细胞株、病毒种毒、佐剂、保护剂、试剂耗材等各类投入的具体占比。结合生产工艺，上游通常包括生物培养及检验用原辅料、佐剂及保护剂、包装材料、实验耗材、洁净厂房及专用生产设备，但该部分属于行业判断，不是公司年报披露的精确成本结构。</w:t>
      </w:r>
    </w:p>
    <w:p>
      <w:pPr>
        <w:pStyle w:val="ListParagraph"/>
        <w:numPr>
          <w:ilvl w:val="0"/>
          <w:numId w:val="2"/>
        </w:numPr>
        <w:spacing w:after="80" w:line="280"/>
      </w:pPr>
      <w:r>
        <w:rPr>
          <w:sz w:val="22"/>
          <w:szCs w:val="22"/>
        </w:rPr>
        <w:t xml:space="preserve">2025年原材料成本同比增长21.86%，高于生物制药收入同比9.16%的增速，显示成本端对利润率形成一定压力。</w:t>
      </w:r>
    </w:p>
    <w:p>
      <w:pPr>
        <w:pStyle w:val="ListParagraph"/>
        <w:numPr>
          <w:ilvl w:val="0"/>
          <w:numId w:val="2"/>
        </w:numPr>
        <w:spacing w:after="80" w:line="280"/>
      </w:pPr>
      <w:r>
        <w:rPr>
          <w:sz w:val="22"/>
          <w:szCs w:val="22"/>
        </w:rPr>
        <w:t xml:space="preserve">2025年前五名供应商采购金额为9,991.24万元，占年度采购总额33.84%，无关联方采购；公司披露不存在单一供应商采购占比超过50%的情况。公司整体不存在对单一供应商的明显依赖，但关键生物原料、专用设备或高等级耗材是否存在隐性供应壁垒，公开信息无法完全核实。</w:t>
      </w:r>
    </w:p>
    <w:p>
      <w:pPr>
        <w:pStyle w:val="ListParagraph"/>
        <w:numPr>
          <w:ilvl w:val="0"/>
          <w:numId w:val="2"/>
        </w:numPr>
        <w:spacing w:after="80" w:line="280"/>
      </w:pPr>
      <w:r>
        <w:rPr>
          <w:sz w:val="22"/>
          <w:szCs w:val="22"/>
        </w:rPr>
        <w:t xml:space="preserve">公司属于规模化采购方，但并非对所有关键生物原料都具备强定价权；原材料、制造设备及生物生产耗材的具体供应格局和价格传导能力未被完整披露。</w:t>
      </w:r>
    </w:p>
    <w:p>
      <w:pPr>
        <w:pStyle w:val="ListParagraph"/>
        <w:numPr>
          <w:ilvl w:val="0"/>
          <w:numId w:val="2"/>
        </w:numPr>
        <w:spacing w:after="80" w:line="280"/>
      </w:pPr>
      <w:r>
        <w:rPr>
          <w:sz w:val="22"/>
          <w:szCs w:val="22"/>
        </w:rPr>
        <w:t xml:space="preserve">下游客户主要包括规模化养殖集团和大型养殖场、中小养殖场，以及政府动物疫病强制免疫采购主体。</w:t>
      </w:r>
    </w:p>
    <w:p>
      <w:pPr>
        <w:pStyle w:val="ListParagraph"/>
        <w:numPr>
          <w:ilvl w:val="0"/>
          <w:numId w:val="2"/>
        </w:numPr>
        <w:spacing w:after="80" w:line="280"/>
      </w:pPr>
      <w:r>
        <w:rPr>
          <w:sz w:val="22"/>
          <w:szCs w:val="22"/>
        </w:rPr>
        <w:t xml:space="preserve">2025年政府采购收入39,886.19万元，毛利率56.67%；直销收入49,647.09万元，毛利率55.34%；经销收入38,976.95万元，毛利率52.73%；其他业务收入5,754.94万元，毛利率10.78%。</w:t>
      </w:r>
    </w:p>
    <w:p>
      <w:pPr>
        <w:pStyle w:val="ListParagraph"/>
        <w:numPr>
          <w:ilvl w:val="0"/>
          <w:numId w:val="2"/>
        </w:numPr>
        <w:spacing w:after="80" w:line="280"/>
      </w:pPr>
      <w:r>
        <w:rPr>
          <w:sz w:val="22"/>
          <w:szCs w:val="22"/>
        </w:rPr>
        <w:t xml:space="preserve">政府采购疫苗价格受到招标和财政采购机制影响，价格竞争较为明显；规模养殖集团采购量大、采购集中度高，对价格、供货稳定性和技术服务提出更高要求，具有较强议价能力。</w:t>
      </w:r>
    </w:p>
    <w:p>
      <w:pPr>
        <w:pStyle w:val="ListParagraph"/>
        <w:numPr>
          <w:ilvl w:val="0"/>
          <w:numId w:val="2"/>
        </w:numPr>
        <w:spacing w:after="80" w:line="280"/>
      </w:pPr>
      <w:r>
        <w:rPr>
          <w:sz w:val="22"/>
          <w:szCs w:val="22"/>
        </w:rPr>
        <w:t xml:space="preserve">经销渠道有助于覆盖分散养殖客户，但经销模式毛利率通常低于部分直销或政府采购产品。随着养殖规模化率提升，竞争由单纯产品销售转向产品质量、免疫效果、疫病检测、驻场服务及综合防控方案。</w:t>
      </w:r>
    </w:p>
    <w:p>
      <w:pPr>
        <w:pStyle w:val="ListParagraph"/>
        <w:numPr>
          <w:ilvl w:val="0"/>
          <w:numId w:val="2"/>
        </w:numPr>
        <w:spacing w:after="80" w:line="280"/>
      </w:pPr>
      <w:r>
        <w:rPr>
          <w:sz w:val="22"/>
          <w:szCs w:val="22"/>
        </w:rPr>
        <w:t xml:space="preserve">2025年前五名客户销售额13,993.78万元，占年度销售总额10.43%，无关联方销售；公司披露不存在单一客户销售额超过总额50%、前五名客户严重依赖等情况。2023年前五大客户销售额占比为25.19%，2022年为27.82%。上述集中度数据来自不同年度披露，收入规模和客户统计口径可能存在变化，不能仅据此认定客户议价能力已经显著改善。</w:t>
      </w:r>
    </w:p>
    <w:p>
      <w:pPr>
        <w:pStyle w:val="ListParagraph"/>
        <w:numPr>
          <w:ilvl w:val="0"/>
          <w:numId w:val="2"/>
        </w:numPr>
        <w:spacing w:after="80" w:line="280"/>
      </w:pPr>
      <w:r>
        <w:rPr>
          <w:sz w:val="22"/>
          <w:szCs w:val="22"/>
        </w:rPr>
        <w:t xml:space="preserve">下游养殖主体盈利空间收窄，推动其加强对动保采购成本的控制；常规化药和同质化疫苗面临价格竞争，公司的议价能力更多来自疫苗资质、产品质量、品牌、研发平台和综合防疫服务，而非对客户的绝对垄断。</w:t>
      </w:r>
    </w:p>
    <w:p>
      <w:pPr>
        <w:pStyle w:val="ListParagraph"/>
        <w:numPr>
          <w:ilvl w:val="0"/>
          <w:numId w:val="2"/>
        </w:numPr>
        <w:spacing w:after="80" w:line="280"/>
      </w:pPr>
      <w:r>
        <w:rPr>
          <w:sz w:val="22"/>
          <w:szCs w:val="22"/>
        </w:rPr>
        <w:t xml:space="preserve">截至2025年12月31日，公司合并口径应收账款5.91亿元，较2024年末的6.33亿元下降；以2025年营业收入约13.96亿元计算，应收账款约占营业收入42.3%，以归母净利润约1.00亿元粗略比较约为其5.9倍，显示销售端仍存在较明显资金占用。预付款项1,939.81万元，较2024年末的733.52万元增加；存货2.69亿元，较2024年末的2.95亿元下降；应付账款2.35亿元，较2024年末的2.62亿元下降，约为生物制药主营业务成本5.85亿元的40.1%；合同负债1.01亿元，较2024年末的1.05亿元略降。公司对上游供应商存在一定账期支持，但年报未披露具体平均付款周期，无法据此准确判断其对供应商的实际议价能力。</w:t>
      </w:r>
    </w:p>
    <w:p>
      <w:pPr>
        <w:pStyle w:val="ListParagraph"/>
        <w:numPr>
          <w:ilvl w:val="0"/>
          <w:numId w:val="2"/>
        </w:numPr>
        <w:spacing w:after="80" w:line="280"/>
      </w:pPr>
      <w:r>
        <w:rPr>
          <w:sz w:val="22"/>
          <w:szCs w:val="22"/>
        </w:rPr>
        <w:t xml:space="preserve">供应商端：2025年前五名供应商采购金额占年度采购总额33.84%，且不存在单一供应商采购占比超过50%的情况。客户端：2025年前五名客户销售额占年度销售总额10.43%，2023年和2022年分别为25.19%和27.82%。客户集中度数据存在年度和统计口径差异，且纪要未提供更完整的连续年度交叉核验信息，具体应以最新年报披露口径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62.80%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生物制药业务处于较高毛利阶段，猪用疫苗和反刍疫苗收入占比较高，产品结构和行业价格环境相对较好；该毛利率主要来自公开财务数据库及行业资料，未取得公司2021年年报原文对应表格，存在单一来源限制。</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55.42%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生猪养殖企业上半年深度亏损，客户采购压力增加，公司收入下降15.47%，而成本下降或基本稳定，毛利率同比下降7.38个百分点。</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59.46%</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公司通过优化销售产品结构、提高生产效率和控制成本，生物制药收入同比增长1.35%，成本同比下降7.83%，毛利率同比提升4.04个百分点。</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约54.66%</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下游养殖端持续承压，行业同质化竞争加剧，口蹄疫、圆环等部分核心产品销量和价格承压，生物制药毛利率较2023年下降约4.80个百分点。该数据由2025年年报同比数据和公开业务数据库交叉整理，建议以2024年完整年报原文为最终口径。</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54.78%</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口蹄疫疫苗销量增长，以及猪伪狂犬、牛二联、猪瘟和宠物疫苗等产品结构改善推动收入增长；但原材料成本同比增长21.86%，行业仍处于价格竞争阶段，毛利率仅较2024年提升0.12个百分点。</w:t>
            </w:r>
          </w:p>
        </w:tc>
      </w:tr>
    </w:tbl>
    <w:p>
      <w:pPr>
        <w:spacing w:before="200"/>
      </w:pPr>
    </w:p>
    <w:p>
      <w:pPr>
        <w:spacing w:after="160" w:line="300"/>
      </w:pPr>
      <w:r>
        <w:rPr>
          <w:sz w:val="22"/>
          <w:szCs w:val="22"/>
        </w:rPr>
        <w:t xml:space="preserve">公司处于兽用生物制品产业链的中游偏上位置，毛利较高主要来自产品资质、研发平台、质量控制、品牌和综合服务，而非对上游原料或下游养殖客户拥有绝对定价权。未来利润改善主要依赖非口蹄疫、反刍、宠物及海外业务的产品结构升级、新产品放量、生产工艺降本和规模效率提升，而不是传统强制免疫疫苗单纯扩产或价格普遍上涨。</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2026年上半年（截至2026年6月30日）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7.5644亿元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+22.09%</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1.0410亿元（归属于上市公司股东的净利润）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+72.28%</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13.9641亿元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+11.23%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1.0011亿元（归属于上市公司股东的净利润）</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-8.14%</w:t>
            </w:r>
          </w:p>
        </w:tc>
      </w:tr>
    </w:tbl>
    <w:p>
      <w:pPr>
        <w:spacing w:after="200"/>
      </w:pPr>
      <w:r>
        <w:rPr>
          <w:i/>
          <w:iCs/>
          <w:color w:val="595959"/>
          <w:sz w:val="18"/>
          <w:szCs w:val="18"/>
        </w:rPr>
        <w:t xml:space="preserve">最新一期正式财报为《2026年半年度报告》，披露日期为2026年8月4日。2026年上半年扣非归母净利润约0.90亿元，同比增长178.61%，该数据主要来自半年报及相关机构研报摘录，建议以公司半年报附注最终披露口径为准。2025年全年扣非归母净利润为4974.43万元，同比增长0.52%。2026年上半年基本每股收益为0.10元，2025年上半年为0.06元；2025年全年基本每股收益为0.09元，2024年为0.10元。</w:t>
      </w:r>
    </w:p>
    <w:p>
      <w:pPr>
        <w:spacing w:after="160" w:line="300"/>
      </w:pPr>
      <w:r>
        <w:rPr>
          <w:sz w:val="22"/>
          <w:szCs w:val="22"/>
        </w:rPr>
        <w:t xml:space="preserve">2026年上半年业绩增长主要来自反刍动物疫苗、宠物动保业务增长，以及产业并购协同、销售费用和管理费用优化。投资收益和公允价值变动对当期利润存在一定扰动，因此扣非归母净利润增速高于归母净利润增速。2025年收入恢复增长，但归母净利润仍同比下降，反映动保行业竞争、产品价格压力以及研发和费用投入对利润率的影响。2026年上半年业绩预告预计归母净利润为9100万元至1.09亿元，同比增长50.60%至80.39%；正式披露的1.0410亿元处于预告区间内。</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同花顺F10截至2026年9月11日显示，近6个月内共有6家机构进行盈利预测。其2026年归母净利润预测区间为1.32亿元至3.41亿元，EPS区间为0.12元至0.32元；2027年归母净利润预测区间为2.05亿元至4.40亿元，EPS区间为0.18元至0.41元；2028年归母净利润预测区间为2.87亿元至6.49亿元，EPS区间为0.26元至0.60元。机构预测属于研报摘录和第三方汇总，不是公司官方指引，且不同机构对非洲猪瘟疫苗、宠物疫苗和反刍动保业务放量节奏的假设差异较大。太平洋证券预测发布于2025年11月，早于2026年半年报，且其2025年盈利预测明显高于公司最终披露数据，参考价值低于较新预测。</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2026年｜同花顺机构预测均值</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公开汇总页面未完整列示统一收入均值</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2.35亿元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0.22元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2027年｜同花顺机构预测均值</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3.33亿元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0.30元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2028年｜同花顺机构预测均值</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4.64亿元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0.42元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2026年｜东北证券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16.70亿元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2.04亿元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约0.19元（按约11.0亿股股本计算）</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2027年｜东北证券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21.58亿元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3.27亿元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约0.30元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2028年｜东北证券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31.07亿元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5.55亿元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约0.50元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2026年｜国投证券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3.41亿元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约0.31元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2027年｜国投证券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4.40亿元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约0.40元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2028年｜国投证券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6.49亿元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约0.59元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2026年｜华创证券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2.63亿元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约0.24元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2027年｜华创证券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3.66亿元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约0.33元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2028年｜华创证券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4.33亿元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约0.39元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2025年｜太平洋证券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15.69亿元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2.83亿元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0.25元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2026年｜太平洋证券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18.51亿元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3.20亿元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0.29元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2027年｜太平洋证券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20.73亿元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3.35亿元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0.30元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东北证券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2026年8月10日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预计2026—2028年归母净利润分别为2.04亿元、3.27亿元和5.55亿元；公开摘要未列示明确目标价。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国投证券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增持-A</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2026年5月14日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目标价14.70元；预计2026—2028年归母净利润分别为3.41亿元、4.40亿元和6.49亿元；按2026年预测盈利给予46倍PE估值。</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2026年5月12日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目标价18.10元；预计2026—2028年归母净利润分别为2.63亿元、3.66亿元和4.33亿元；采用DCF估值。</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2026年4月25日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目标价14.00元；公开信息显示此前还曾给出10.00元目标价，目标价存在随股价和盈利预测调整的情况。</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国泰海通证券、海通国际</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2026年1月前后</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目标价20.70元；发布时间较早，参考价值低于2026年5月至8月的研报。</w:t>
            </w:r>
          </w:p>
        </w:tc>
      </w:tr>
    </w:tbl>
    <w:p>
      <w:pPr>
        <w:spacing w:before="200"/>
      </w:pPr>
    </w:p>
    <w:p>
      <w:pPr>
        <w:spacing w:after="160" w:line="300"/>
      </w:pPr>
      <w:r>
        <w:rPr>
          <w:sz w:val="22"/>
          <w:szCs w:val="22"/>
        </w:rPr>
        <w:t xml:space="preserve">截至2026年9月11日收盘，公司股价为11.69元，总市值约128.7亿元至129亿元，总股本约11.00亿股，市盈率TTM约89.4倍至92.1倍，扣非市盈率约119.9倍，市净率约2.33倍至2.45倍，每股净资产约4.87元，股息率约0.3%。可概括为PE-TTM约90倍、PB约2.4倍。理杏仁数据显示，公司PE约92.10倍、行业PE约43.47倍；公司PB约2.45倍、行业PB约1.95倍，公司静态PE显著高于申万动物保健行业。以11.69元收盘价计算，按同花顺机构预测均值，2026—2028年对应前瞻PE约53倍、39倍和28倍；按东北证券预测，约62倍、39倍和23倍；按国投证券预测，约38倍、29倍和20倍。公开机构目标价区间约为14.00元至20.70元，较新且有明确目标价的观点主要集中于国投证券14.70元和华创证券18.10元。当前估值对2026年盈利预测仍不便宜，但若公司兑现2027—2028年新品放量和利润率修复预期，前瞻PE可能明显下降；若非洲猪瘟疫苗商业化、宠物业务放量或产品价格修复不及预期，约90倍PE-TTM仍处于偏高水平。不同平台PE、PB存在小幅差异，可能来自总股本、回购注销、财报更新时点及计算口径不同。</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2026年半年度业绩预增并基本兑现</w:t>
      </w:r>
    </w:p>
    <w:p>
      <w:pPr>
        <w:spacing w:after="160" w:line="300"/>
      </w:pPr>
      <w:r>
        <w:rPr>
          <w:sz w:val="22"/>
          <w:szCs w:val="22"/>
        </w:rPr>
        <w:t xml:space="preserve">公司于2026年7月6日披露半年度业绩预增公告，预计2026年上半年归属于上市公司股东的净利润为9100万元至1.09亿元，同比增长50.60%至80.39%；扣除非经常性损益后的净利润为7000万元至9100万元，同比增长117.45%至182.69%。公司于2026年8月4日披露半年度报告，上半年实现营业收入约7.56亿元，同比增长22.09%；归母净利润约1.04亿元，同比增长72.28%；扣非归母净利润约8968.56万元，同比增长178.61%，基本处于此前预告区间的中上部。业绩增长主要来自反刍动物和宠物动保业务增长、产业并购协同、数字化和精益化管理、费用及制造成本优化以及新产品上市。上半年经营活动产生的现金流量净额约5102万元，同比下降42.63%，后续需关注利润增长向经营现金流的转化情况。</w:t>
      </w:r>
    </w:p>
    <w:p>
      <w:pPr>
        <w:pStyle w:val="Heading2"/>
        <w:spacing w:after="120" w:before="240"/>
      </w:pPr>
      <w:r>
        <w:rPr>
          <w:b/>
          <w:bCs/>
          <w:color w:val="2E74B5"/>
          <w:sz w:val="24"/>
          <w:szCs w:val="24"/>
        </w:rPr>
        <w:t xml:space="preserve">4.2 股份回购于2026年9月5日完成，实际支付约3亿元</w:t>
      </w:r>
    </w:p>
    <w:p>
      <w:pPr>
        <w:spacing w:after="160" w:line="300"/>
      </w:pPr>
      <w:r>
        <w:rPr>
          <w:sz w:val="22"/>
          <w:szCs w:val="22"/>
        </w:rPr>
        <w:t xml:space="preserve">公司董事会于2026年6月5日审议通过股份回购方案，计划使用自有资金或自筹资金，以集中竞价方式回购股份，回购金额不低于2亿元且不超过4亿元，回购价格上限为20.70元/股，期限不超过3个月，回购股份用于维护公司价值及股东权益。公司于2026年9月8日披露回购实施结果：截至2026年9月5日回购期限届满，累计回购2392.25万股，占回购前总股本约2.17%，实际支付金额约2.999662亿元，不含交易费用，回购价格区间为11.12元/股至14.04元/股，回购均价为12.54元/股。回购完成后公司总股本由111,174.7826万股变为109,992.7826万股，回购股份全部存放于回购专用证券账户，后续拟按照既定方案处理。回购期间董事、高级管理人员、回购提议人及一致行动人内蒙古金宇生物控股有限公司不存在买卖公司股票的行为。</w:t>
      </w:r>
    </w:p>
    <w:p>
      <w:pPr>
        <w:pStyle w:val="Heading2"/>
        <w:spacing w:after="120" w:before="240"/>
      </w:pPr>
      <w:r>
        <w:rPr>
          <w:b/>
          <w:bCs/>
          <w:color w:val="2E74B5"/>
          <w:sz w:val="24"/>
          <w:szCs w:val="24"/>
        </w:rPr>
        <w:t xml:space="preserve">4.3 2023年员工持股计划部分股份注销，大股东持股比例被动上升</w:t>
      </w:r>
    </w:p>
    <w:p>
      <w:pPr>
        <w:spacing w:after="160" w:line="300"/>
      </w:pPr>
      <w:r>
        <w:rPr>
          <w:sz w:val="22"/>
          <w:szCs w:val="22"/>
        </w:rPr>
        <w:t xml:space="preserve">公司于2026年8月4日披露2023年员工持股计划部分股份回购注销实施公告，并于2026年8月6日注销已授予但尚未解锁的权益份额对应股票851.84万股。公司于2026年8月11日披露，因总股本减少，内蒙古金宇生物控股有限公司及其一致行动人张翀宇、张竞合计持股比例由13.95%被动上升至14.06%，增加0.11个百分点。内蒙古金宇生物控股有限公司持股125,510,800股，比例由11.32%升至11.41%；张翀宇持股23,003,826股，比例由2.08%升至2.09%；张竞持股6,132,742股，比例由0.55%升至0.56%；三者合计持股数量仍为154,647,368股。本次变化不涉及实际增持，不触发要约收购义务，也不涉及违反既有承诺。</w:t>
      </w:r>
    </w:p>
    <w:p>
      <w:pPr>
        <w:pStyle w:val="Heading2"/>
        <w:spacing w:after="120" w:before="240"/>
      </w:pPr>
      <w:r>
        <w:rPr>
          <w:b/>
          <w:bCs/>
          <w:color w:val="2E74B5"/>
          <w:sz w:val="24"/>
          <w:szCs w:val="24"/>
        </w:rPr>
        <w:t xml:space="preserve">4.4 参与设立的内蒙古金新一号股权投资基金提前解散并清算注销</w:t>
      </w:r>
    </w:p>
    <w:p>
      <w:pPr>
        <w:spacing w:after="160" w:line="300"/>
      </w:pPr>
      <w:r>
        <w:rPr>
          <w:sz w:val="22"/>
          <w:szCs w:val="22"/>
        </w:rPr>
        <w:t xml:space="preserve">公司于2026年8月13日披露，参与设立的内蒙古金新一号股权投资基金因相关监管政策变化提前解散并清算注销。生物股份认缴出资约2亿元，认缴比例约40%。由于内蒙古金融资产管理有限公司不能继续从事财务投资性质的股权投资，需要退出基金；基金管理人新动能基金也不再适合继续担任基金管理人。2026年8月11日，合伙人会议一致同意提前解散并注销合伙企业，由基金管理人负责后续清算及解散工作。该事项不构成关联交易或重大资产重组，公司称不会对日常经营和财务状况产生重大不利影响。基金实际已缴出资金额、底层资产价值、清算进度、最终可收回金额及投资损益尚未披露，最终影响存在不确定性。</w:t>
      </w:r>
    </w:p>
    <w:p>
      <w:pPr>
        <w:pStyle w:val="Heading2"/>
        <w:spacing w:after="120" w:before="240"/>
      </w:pPr>
      <w:r>
        <w:rPr>
          <w:b/>
          <w:bCs/>
          <w:color w:val="2E74B5"/>
          <w:sz w:val="24"/>
          <w:szCs w:val="24"/>
        </w:rPr>
        <w:t xml:space="preserve">4.5 以5000万元认购权益类私募证券投资基金</w:t>
      </w:r>
    </w:p>
    <w:p>
      <w:pPr>
        <w:spacing w:after="160" w:line="300"/>
      </w:pPr>
      <w:r>
        <w:rPr>
          <w:sz w:val="22"/>
          <w:szCs w:val="22"/>
        </w:rPr>
        <w:t xml:space="preserve">公司于2026年7月2日披露，拟以闲置自有资金5000万元认购“晨曦浩然核心2号私募证券投资基金”份额。该基金为权益类私募证券投资基金，存续期限20年，基金管理人为晨曦（深圳）私募证券投资基金管理有限公司，托管人为国泰海通证券股份有限公司。公司与基金管理人不存在关联关系，该投资不构成重大资产重组或关联交易。基金无保本及最低收益承诺，权益类资产投资比例不低于80%，预期风险等级为R5级，且未设置预警线和止损线。公司表示投资目的为提高闲置自有资金使用效率，不影响主营业务正常开展；公告未披露具体投资策略和预期收益。</w:t>
      </w:r>
    </w:p>
    <w:p>
      <w:pPr>
        <w:pStyle w:val="Heading2"/>
        <w:spacing w:after="120" w:before="240"/>
      </w:pPr>
      <w:r>
        <w:rPr>
          <w:b/>
          <w:bCs/>
          <w:color w:val="2E74B5"/>
          <w:sz w:val="24"/>
          <w:szCs w:val="24"/>
        </w:rPr>
        <w:t xml:space="preserve">4.6 子公司获准生产含南非1型口蹄疫相关疫苗产品</w:t>
      </w:r>
    </w:p>
    <w:p>
      <w:pPr>
        <w:spacing w:after="160" w:line="300"/>
      </w:pPr>
      <w:r>
        <w:rPr>
          <w:sz w:val="22"/>
          <w:szCs w:val="22"/>
        </w:rPr>
        <w:t xml:space="preserve">公司于2026年7月22日披露，子公司取得农业农村部相关兽药产品批准文号，产品涉及含南非1型的口蹄疫疫苗。该事项有助于丰富动物疫苗产品线，涉及猪、牛、羊等主要经济动物防疫场景，属于产品获批和业务拓展，不属于并购或重大资产重组。公告未披露新增销售收入、产能规模或利润贡献金额，短期对业绩的实际影响尚无法量化。</w:t>
      </w:r>
    </w:p>
    <w:p>
      <w:pPr>
        <w:pStyle w:val="Heading2"/>
        <w:spacing w:after="120" w:before="240"/>
      </w:pPr>
      <w:r>
        <w:rPr>
          <w:b/>
          <w:bCs/>
          <w:color w:val="2E74B5"/>
          <w:sz w:val="24"/>
          <w:szCs w:val="24"/>
        </w:rPr>
        <w:t xml:space="preserve">4.7 近期未检索到新的重大并购或重大资产重组公告</w:t>
      </w:r>
    </w:p>
    <w:p>
      <w:pPr>
        <w:spacing w:after="160" w:line="300"/>
      </w:pPr>
      <w:r>
        <w:rPr>
          <w:sz w:val="22"/>
          <w:szCs w:val="22"/>
        </w:rPr>
        <w:t xml:space="preserve">截至2026年9月13日，纪要显示近期未检索到新的重大股权并购或重大资产重组公告。公司2026年上半年业绩中的产业并购协同主要体现为既有业务整合和产品拓展，而非近期新增重大并购。纪要同时显示，最近一份重要公司公告为2026年9月8日回购实施结果公告，未发现2026年9月9日至9月13日新增重大回购、减持、并购或监管问询公告。</w:t>
      </w:r>
    </w:p>
    <w:p>
      <w:pPr>
        <w:pStyle w:val="Heading2"/>
        <w:spacing w:after="120" w:before="240"/>
      </w:pPr>
      <w:r>
        <w:rPr>
          <w:b/>
          <w:bCs/>
          <w:color w:val="2E74B5"/>
          <w:sz w:val="24"/>
          <w:szCs w:val="24"/>
        </w:rPr>
        <w:t xml:space="preserve">4.8 近期事项综合影响及待跟踪事项</w:t>
      </w:r>
    </w:p>
    <w:p>
      <w:pPr>
        <w:spacing w:after="160" w:line="300"/>
      </w:pPr>
      <w:r>
        <w:rPr>
          <w:sz w:val="22"/>
          <w:szCs w:val="22"/>
        </w:rPr>
        <w:t xml:space="preserve">2026年上半年业绩增长已获正式半年报基本验证；约3亿元股份回购已完成，回购规模占回购前总股本约2.17%；员工持股计划股份注销导致大股东及一致行动人持股比例被动上升，不代表主动增持。需持续关注金新一号股权投资基金清算回收金额及最终损益，以及5000万元权益类私募证券投资基金的本金和收益波动风险。回购股份目前仍存放于回购专用证券账户，若公告披露后3年内未完成出售，未实施出售部分可能依法履行程序后注销；若未来出售，可能增加市场流通压力。</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证券名称及代码</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生物股份（600201），公司全称为金宇生物技术股份有限公司，上海证券交易所上市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11.69元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涨跌额及涨跌幅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-0.35元，-2.91%</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当日价格区间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开盘12.04元，最高12.05元，最低11.62元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成交量及成交额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成交量105,682手，约1,056.82万股；成交额12,423.45万元，约1.24亿元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0.96%</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按约11.00亿股总股本和11.69元收盘价估算约128.59亿元；同花顺页面显示约128亿元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平台行情口径约为8.00~19.00元；不同数据源对52周低点存在7.21元、7.56元、8.00元差异，可能与复权口径、统计窗口或更新时间有关</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近期价格表现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2026年8月21日至9月11日，收盘价由12.65元降至11.69元，累计下跌约7.6%；9月1日冲高至12.77元后连续回落，9月11日跌破12元整数关口</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估值参考</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中财网市盈率约89.42倍、扣非市盈率约119.90倍；同花顺动态市盈率约61.76倍；Investing页面9月10日前后显示约95倍。不同平台口径可能不同，不能直接视为同一指标</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MA5/MA10/MA20（截至2026年9月11日，基于近期收盘价测算）</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MA5约12.13元，MA10约12.30元，MA20约12.59元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现价11.69元低于MA5、MA10和MA20；MA5低于MA10、MA10低于MA20，显示近5至20个交易日平均成本仍在下移，短中期均线排列偏弱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Investing平台均线参考（截至2026年9月8日）</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MA5 12.42元，MA10 12.37元，MA20 12.38元，MA50 12.54元，MA100 12.86元，MA200 12.54元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该组数据与按2026年9月11日收盘价重新计算的均线存在明显差异，可能与数据更新时间、复权方式或抓取时点有关，仅作交叉参考，不与本报告测算值混合使用</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截至2026年9月8日，Investing平台约为-0.04，平台评级为“卖出”；2026年9月11日最终值缺失</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已披露数据位于零轴下方，反映短线动能偏弱；由于缺少9月11日更新值，不能将-0.04表述为最新收盘最终值</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截至2026年9月8日，Investing技术页面为48.591；另一行情摘要页面约为52.94，时间口径接近9月10日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不同页面数据不一致，但均指向大致中性区域，尚未进入传统意义上的超卖区间；不能据此确认已经出现明确反转</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布林带（截至2026年9月11日，20日简单移动平均及标准差测算）</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中轨约12.59元，上轨约13.46元，下轨约11.72元；9月11日收盘价11.69元，盘中最低11.62元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收盘价略低于估算下轨，短线存在技术性反抽或回归中轨的可能，但跌破下轨也可能代表弱势扩散，不能单独作为止跌信号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主力资金流向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截至2026年9月4日，近5个交易日主力资金净额约流出1,467.96万元；9月11日当日数据缺失</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9月1日净流入约2,723.58万元后，9月2日至9月4日连续净流出，且股价由12.77元回落至12.30元，已披露区间资金面偏弱；因缺少9月11日数据，不对当日资金流向作确定判断</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52周位置</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平台行情口径52周最高价19.00元、最低价约8.00元；当前11.69元较高点回落约38.5%，较低点上涨约46.1%</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股价位于平台统计区间中部偏低位置，但52周低点存在不同数据源差异，相关区间并非交易所原始数据的独立复核结果</w:t>
            </w:r>
          </w:p>
        </w:tc>
      </w:tr>
    </w:tbl>
    <w:p>
      <w:pPr>
        <w:spacing w:before="200"/>
      </w:pPr>
    </w:p>
    <w:p>
      <w:pPr>
        <w:spacing w:after="160" w:line="300"/>
      </w:pPr>
      <w:r>
        <w:rPr>
          <w:sz w:val="22"/>
          <w:szCs w:val="22"/>
        </w:rPr>
        <w:t xml:space="preserve">截至2026年9月11日，生物股份收盘11.69元，较8月21日累计下跌约7.6%，并跌破12元整数关口。现价低于按近期收盘价测算的MA5、MA10和MA20，短中期均线呈偏弱排列；同时，收盘价略低于估算布林下轨，技术上存在反抽可能，但也需警惕弱势扩散。RSI大致处于中性区域，尚未显示传统意义上的超卖；MACD最新可核实数据截至9月8日，不能直接视作9月11日最终值。资金方面，截至9月4日已披露的近5个交易日主力资金净额约流出1,467.96万元。9月11日下跌2.91%，成交额约1.24亿元，未明显放大至近期异常水平，暂未体现放量恐慌杀跌特征。估值方面，不同平台市盈率约61.76倍至95倍，口径存在差异；以中财网约89.42倍口径参考，明显高于其页面所列医药制造业中位市盈率约34倍。</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风险提示：以下内容仅为基于2026年9月11日收盘数据、历史价格和技术指标的主观情景推演，不构成投资建议，也不是确定性价格预测。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12.00~12.20元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12元整数关口为失守后的第一道反压，12.20元接近9月9日收盘价及近期成交密集区；若放量收复12.20元，观察上方12.30~12.60元区域</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11.60~11.75元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包含9月11日盘中低点11.62元及估算布林下轨约11.72元；若在该区间企稳，可能出现技术性反抽</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11.20~11.50元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属于当前布林下轨下方的下一层观察区；若有效跌破11.60元且成交额明显放大，价格可能向该区域寻找支撑</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中期反压</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12.50~12.65元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对应MA20估算值约12.59元及8月21日至9月初的多次成交区域；若不能重新站上该区域，反弹更接近弱势修复而非趋势反转</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弱势震荡整理（相对权重较高，约六成左右；为基于当前技术面和资金面的主观启发式权重，不是统计概率）：价格观察区间为11.60~12.10元。触发条件包括股价在11.60~11.75元附近获得承接，成交额维持约0.8亿~1.5亿元，且不能有效跌破11.60元，也不能放量站回12.20元。在此情景下，股价可能围绕12元附近反复震荡。</w:t>
      </w:r>
    </w:p>
    <w:p>
      <w:pPr>
        <w:pStyle w:val="ListParagraph"/>
        <w:numPr>
          <w:ilvl w:val="0"/>
          <w:numId w:val="2"/>
        </w:numPr>
        <w:spacing w:after="80" w:line="280"/>
      </w:pPr>
      <w:r>
        <w:rPr>
          <w:sz w:val="22"/>
          <w:szCs w:val="22"/>
        </w:rPr>
        <w:t xml:space="preserve">偏弱下行（权重中等；为基于当前技术面和资金面的主观判断，不是统计概率）：价格观察区间为11.20~11.60元。触发条件包括11.60元被有效跌破、单日成交额明显高于近期常态、医药制造业或畜牧养殖相关板块继续走弱，以及主力资金继续出现较大规模净流出。若11.60元失守且不能快速收回，市场可能进一步测试11.20~11.50元区域。</w:t>
      </w:r>
    </w:p>
    <w:p>
      <w:pPr>
        <w:pStyle w:val="ListParagraph"/>
        <w:numPr>
          <w:ilvl w:val="0"/>
          <w:numId w:val="2"/>
        </w:numPr>
        <w:spacing w:after="80" w:line="280"/>
      </w:pPr>
      <w:r>
        <w:rPr>
          <w:sz w:val="22"/>
          <w:szCs w:val="22"/>
        </w:rPr>
        <w:t xml:space="preserve">反弹修复（权重偏低但并非没有可能；为基于当前技术面和资金面的主观判断，不是统计概率）：价格观察区间为12.10~12.50元。触发条件包括股价先在11.60~11.75元区域止跌，随后放量收复12.00元和12.20元，单日成交额明显超过近期正常水平，并有医药或畜牧养殖板块同步修复或公司层面的正面催化。若站稳12.20元，观察12.30~12.50元区域；若成交量不足，反弹至12.00~12.20元附近后再次回落的可能性较高。</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当日换手率为0.96%，成交额约1.24亿元。2026年9月8日至9月11日成交额分别约为1.28亿元、0.85亿元、1.35亿元和1.24亿元，对应换手率为0.94%、0.63%、1.02%和0.96%；近期换手率大多约0.6%~1.1%，成交额主要处于0.85亿~1.46亿元。总体看，短线成交活跃度一般，并非极端低流动性小盘股，但若缺少成交额配合，突破12.20元的持续性可能有限。主力资金方面，截至2026年9月4日，近5个交易日净额约流出1,467.96万元；9月5日至9月11日完整数据未能可靠取得。股东结构数据截至2026年6月30日，存在季度滞后：股东总数41,853户，前十大流通股东合计持股约3.17亿股，占流通股约28.55%，同花顺评价为“主力控盘度较低”、筹码集中度“较分散”。2026年6月5日披露的前十大流通股东中既有控股股东及产业资本，也有私募基金、国泰中证畜牧养殖ETF和香港中央结算有限公司等，但未形成高度集中的单一机构控盘格局。上述股东结构可能已随2026年9月行情发生变化，不能代表即时筹码结构；实践上，当前成交活跃度一般，价格反弹或突破仍需要成交额配合。</w:t>
      </w:r>
    </w:p>
    <w:p>
      <w:pPr>
        <w:spacing w:after="160" w:line="300"/>
      </w:pPr>
      <w:r>
        <w:rPr>
          <w:sz w:val="22"/>
          <w:szCs w:val="22"/>
        </w:rPr>
        <w:t xml:space="preserve">可检查的成交量确认信号：若后续单日成交额连续放大至约1.8亿~2.0亿元以上，同时收盘站上12.20元，可作为短线资金参与度改善的观察信号；若放量但股价仍收于11.60元下方，则更接近卖压释放或趋势破位信号。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观察11.60~11.75元支撑区能否出现止跌；</w:t>
      </w:r>
    </w:p>
    <w:p>
      <w:pPr>
        <w:pStyle w:val="ListParagraph"/>
        <w:numPr>
          <w:ilvl w:val="0"/>
          <w:numId w:val="2"/>
        </w:numPr>
        <w:spacing w:after="80" w:line="280"/>
      </w:pPr>
      <w:r>
        <w:rPr>
          <w:sz w:val="22"/>
          <w:szCs w:val="22"/>
        </w:rPr>
        <w:t xml:space="preserve">观察12.00~12.20元区域能否由压力转为支撑；</w:t>
      </w:r>
    </w:p>
    <w:p>
      <w:pPr>
        <w:pStyle w:val="ListParagraph"/>
        <w:numPr>
          <w:ilvl w:val="0"/>
          <w:numId w:val="2"/>
        </w:numPr>
        <w:spacing w:after="80" w:line="280"/>
      </w:pPr>
      <w:r>
        <w:rPr>
          <w:sz w:val="22"/>
          <w:szCs w:val="22"/>
        </w:rPr>
        <w:t xml:space="preserve">观察成交额是否连续超过1.8亿~2.0亿元；</w:t>
      </w:r>
    </w:p>
    <w:p>
      <w:pPr>
        <w:pStyle w:val="ListParagraph"/>
        <w:numPr>
          <w:ilvl w:val="0"/>
          <w:numId w:val="2"/>
        </w:numPr>
        <w:spacing w:after="80" w:line="280"/>
      </w:pPr>
      <w:r>
        <w:rPr>
          <w:sz w:val="22"/>
          <w:szCs w:val="22"/>
        </w:rPr>
        <w:t xml:space="preserve">观察主力资金数据更新后是否由连续净流出转为持续净流入，以及医药制造业、畜牧养殖相关板块是否同步修复；以上均为观察思路，非操作指令。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兽用生物制品行业企业数量较多，但收入和资源向头部企业集中。2024年全国约有1,681家兽药生产企业，其中兽用生物制品企业约196家；兽用生物制品生产总值172.06亿元，销售额154.01亿元，同比下降5.38%；销售额前十家企业合计占行业销售额45.46%。</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强制免疫产品仍具有政策和资质壁垒，但政府采购价格竞争较强。</w:t>
      </w:r>
    </w:p>
    <w:p>
      <w:pPr>
        <w:pStyle w:val="ListParagraph"/>
        <w:numPr>
          <w:ilvl w:val="0"/>
          <w:numId w:val="2"/>
        </w:numPr>
        <w:spacing w:after="80" w:line="280"/>
      </w:pPr>
      <w:r>
        <w:rPr>
          <w:sz w:val="22"/>
          <w:szCs w:val="22"/>
        </w:rPr>
        <w:t xml:space="preserve">非强制免疫猪苗市场受到大型养殖集团采购和行业同质化影响，价格压力较大。</w:t>
      </w:r>
    </w:p>
    <w:p>
      <w:pPr>
        <w:pStyle w:val="ListParagraph"/>
        <w:numPr>
          <w:ilvl w:val="0"/>
          <w:numId w:val="2"/>
        </w:numPr>
        <w:spacing w:after="80" w:line="280"/>
      </w:pPr>
      <w:r>
        <w:rPr>
          <w:sz w:val="22"/>
          <w:szCs w:val="22"/>
        </w:rPr>
        <w:t xml:space="preserve">养殖规模化提升后，大型客户更加重视免疫效果、疫病净化、检测服务和定制化方案。</w:t>
      </w:r>
    </w:p>
    <w:p>
      <w:pPr>
        <w:pStyle w:val="ListParagraph"/>
        <w:numPr>
          <w:ilvl w:val="0"/>
          <w:numId w:val="2"/>
        </w:numPr>
        <w:spacing w:after="80" w:line="280"/>
      </w:pPr>
      <w:r>
        <w:rPr>
          <w:sz w:val="22"/>
          <w:szCs w:val="22"/>
        </w:rPr>
        <w:t xml:space="preserve">宠物疫苗、反刍疫苗、多联多价疫苗、基因工程疫苗、mRNA疫苗和智能检测是研发和产业化方向。</w:t>
      </w:r>
    </w:p>
    <w:p>
      <w:pPr>
        <w:pStyle w:val="ListParagraph"/>
        <w:numPr>
          <w:ilvl w:val="0"/>
          <w:numId w:val="2"/>
        </w:numPr>
        <w:spacing w:after="80" w:line="280"/>
      </w:pPr>
      <w:r>
        <w:rPr>
          <w:sz w:val="22"/>
          <w:szCs w:val="22"/>
        </w:rPr>
        <w:t xml:space="preserve">新版兽药GMP和生物安全监管提高行业准入门槛，低效和不合规产能面临出清。</w:t>
      </w:r>
    </w:p>
    <w:p>
      <w:pPr>
        <w:pStyle w:val="ListParagraph"/>
        <w:numPr>
          <w:ilvl w:val="0"/>
          <w:numId w:val="2"/>
        </w:numPr>
        <w:spacing w:after="80" w:line="280"/>
      </w:pPr>
      <w:r>
        <w:rPr>
          <w:sz w:val="22"/>
          <w:szCs w:val="22"/>
        </w:rPr>
        <w:t xml:space="preserve">普莱柯年报披露的2024年数据表明，兽用生物制品企业中大型企业仅25家，占企业总数12.80%，但销售额占比64.95%，进一步显示行业收入集中度高于企业数量所体现的表面分散程度。</w:t>
      </w:r>
    </w:p>
    <w:p>
      <w:pPr>
        <w:pStyle w:val="ListParagraph"/>
        <w:numPr>
          <w:ilvl w:val="0"/>
          <w:numId w:val="2"/>
        </w:numPr>
        <w:spacing w:after="80" w:line="280"/>
      </w:pPr>
      <w:r>
        <w:rPr>
          <w:sz w:val="22"/>
          <w:szCs w:val="22"/>
        </w:rPr>
        <w:t xml:space="preserve">行业竞争正从产能规模竞争转向技术、产品质量、研发能力、综合服务和生物安全资质竞争，但政府采购和同质化产品的价格竞争仍然存在。</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中牧股份（600195）</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央企背景的综合动物保健企业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业务覆盖动物疫苗、兽用化药、饲料添加剂和动物营养等领域，政府采购渠道和重大动物疫病疫苗资质较强；业务结构较生物股份更综合，生物制药并非唯一主业。</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普莱柯（603566）</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兽用生物制品、化学药品和中兽药综合企业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覆盖猪、禽和宠物等领域，在非强制免疫猪苗、禽苗、宠物业务和化药领域布局较强；业务结构较生物股份更加多元，行业同质化和下游客户议价能力提升是共同压力。</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科前生物（688526）</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专注非国家强制免疫猪用疫苗和禽用疫苗的兽用生物制品企业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研发和产业化应用能力较强，拥有猪用疫苗及病原学、基因工程、抗原表达、悬浮培养、佐剂和多联多价疫苗技术储备；2025年主营兽用生物制品毛利率约70.66%，高于生物股份，但不同公司的产品结构和口径并不完全一致，不能据此进行严格横向排名。</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瑞普生物（300119）</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覆盖禽用疫苗、畜用疫苗、兽用化药、宠物疫苗和宠物供应链的综合动物保健企业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禽用疫苗和宠物业务较重要，产品和服务覆盖经济动物与宠物全生命周期；相较生物股份，其在禽用疫苗、化药和宠物综合服务方面更突出。</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申联生物（688098）</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聚焦兽用生物制品，尤其是口蹄疫疫苗及相关动物疫苗</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与生物股份在部分强制免疫和猪用疫苗市场存在直接竞争，规模相对较小；公开检索未获得足够完整的2025年年报竞争地位数据，具体市场份额、产能和客户结构不作定量结论。</w:t>
            </w:r>
          </w:p>
        </w:tc>
      </w:tr>
    </w:tbl>
    <w:p>
      <w:pPr>
        <w:spacing w:before="200"/>
      </w:pPr>
    </w:p>
    <w:p>
      <w:pPr>
        <w:spacing w:after="160" w:line="300"/>
      </w:pPr>
      <w:r>
        <w:rPr>
          <w:sz w:val="22"/>
          <w:szCs w:val="22"/>
        </w:rPr>
        <w:t xml:space="preserve">生物股份的相对优势在于口蹄疫疫苗规模、强制免疫疫苗资质、三大生产基地、ABSL-3实验室和较完整的动物疫苗研发平台；相较业务更综合的中牧股份、产品结构更丰富的普莱柯和瑞普生物，以及非强制免疫猪苗毛利率更高的科前生物，公司仍面临政府采购价格竞争、非强制免疫产品同质化和大型养殖客户议价压力。其差异化竞争力主要来自强制免疫资质、研发与生物安全能力、产品注册能力、品牌和综合防疫服务。</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兽用生物制品业务集中度较高：2025年生物制药业务收入占公司营业收入约92.67%，若核心疫苗产品销量、价格或政府采购规模承压，公司整体收入和利润可能受到较大影响。</w:t>
      </w:r>
    </w:p>
    <w:p>
      <w:pPr>
        <w:pStyle w:val="ListParagraph"/>
        <w:numPr>
          <w:ilvl w:val="0"/>
          <w:numId w:val="2"/>
        </w:numPr>
        <w:spacing w:after="80" w:line="280"/>
      </w:pPr>
      <w:r>
        <w:rPr>
          <w:sz w:val="22"/>
          <w:szCs w:val="22"/>
        </w:rPr>
        <w:t xml:space="preserve">产品价格和竞争风险仍然突出：政府采购疫苗受到招标和财政采购机制影响，非强制免疫猪苗面临同质化竞争，大型养殖集团具有较强议价能力；2025年生物制药毛利率仅为54.78%，较2023年仍低约4.68个百分点。</w:t>
      </w:r>
    </w:p>
    <w:p>
      <w:pPr>
        <w:pStyle w:val="ListParagraph"/>
        <w:numPr>
          <w:ilvl w:val="0"/>
          <w:numId w:val="2"/>
        </w:numPr>
        <w:spacing w:after="80" w:line="280"/>
      </w:pPr>
      <w:r>
        <w:rPr>
          <w:sz w:val="22"/>
          <w:szCs w:val="22"/>
        </w:rPr>
        <w:t xml:space="preserve">原材料成本上升可能压缩利润率：2025年生物制药原材料成本同比增长21.86%，高于生物制药收入约9.16%的增速；公司对关键生物原料、专用设备及高等级耗材的具体供应壁垒和价格传导能力未被完整披露。</w:t>
      </w:r>
    </w:p>
    <w:p>
      <w:pPr>
        <w:pStyle w:val="ListParagraph"/>
        <w:numPr>
          <w:ilvl w:val="0"/>
          <w:numId w:val="2"/>
        </w:numPr>
        <w:spacing w:after="80" w:line="280"/>
      </w:pPr>
      <w:r>
        <w:rPr>
          <w:sz w:val="22"/>
          <w:szCs w:val="22"/>
        </w:rPr>
        <w:t xml:space="preserve">应收账款和现金流风险：截至2025年末应收账款5.91亿元，约占2025年营业收入42.3%；2026年上半年经营活动现金流净额约5102万元，同比下降42.63%，利润增长向现金流转化情况仍需验证。</w:t>
      </w:r>
    </w:p>
    <w:p>
      <w:pPr>
        <w:pStyle w:val="ListParagraph"/>
        <w:numPr>
          <w:ilvl w:val="0"/>
          <w:numId w:val="2"/>
        </w:numPr>
        <w:spacing w:after="80" w:line="280"/>
      </w:pPr>
      <w:r>
        <w:rPr>
          <w:sz w:val="22"/>
          <w:szCs w:val="22"/>
        </w:rPr>
        <w:t xml:space="preserve">新业务放量不及预期风险：2026年上半年业绩增长较多依赖反刍动物和宠物动保业务、新产品及产业并购协同，但公司尚未披露相关业务对新增收入和利润的具体拆分；若放量节奏低于预期，机构盈利预测可能面临下修。</w:t>
      </w:r>
    </w:p>
    <w:p>
      <w:pPr>
        <w:pStyle w:val="ListParagraph"/>
        <w:numPr>
          <w:ilvl w:val="0"/>
          <w:numId w:val="2"/>
        </w:numPr>
        <w:spacing w:after="80" w:line="280"/>
      </w:pPr>
      <w:r>
        <w:rPr>
          <w:sz w:val="22"/>
          <w:szCs w:val="22"/>
        </w:rPr>
        <w:t xml:space="preserve">研发和产品注册转化风险：公司2025年研发投入1.74亿元、占营业收入12.49%，但研发投入能否持续转化为商业化产品和利润仍存在不确定性；含南非1型口蹄疫相关疫苗虽已取得产品批准文号，新增销售收入、产能规模及利润贡献尚未披露。</w:t>
      </w:r>
    </w:p>
    <w:p>
      <w:pPr>
        <w:pStyle w:val="ListParagraph"/>
        <w:numPr>
          <w:ilvl w:val="0"/>
          <w:numId w:val="2"/>
        </w:numPr>
        <w:spacing w:after="80" w:line="280"/>
      </w:pPr>
      <w:r>
        <w:rPr>
          <w:sz w:val="22"/>
          <w:szCs w:val="22"/>
        </w:rPr>
        <w:t xml:space="preserve">投资及非主营业务波动风险：公司以5000万元认购权益类私募证券投资基金，该基金为R5风险等级、无保本及最低收益承诺，且未设置预警线和止损线，可能带来本金和投资收益波动；金新一号股权投资基金已提前解散清算，但最终可收回金额及投资损益尚未披露。</w:t>
      </w:r>
    </w:p>
    <w:p>
      <w:pPr>
        <w:pStyle w:val="ListParagraph"/>
        <w:numPr>
          <w:ilvl w:val="0"/>
          <w:numId w:val="2"/>
        </w:numPr>
        <w:spacing w:after="80" w:line="280"/>
      </w:pPr>
      <w:r>
        <w:rPr>
          <w:sz w:val="22"/>
          <w:szCs w:val="22"/>
        </w:rPr>
        <w:t xml:space="preserve">估值与股价波动风险：截至2026年9月11日公司股价为11.69元，按不同平台口径市盈率约为61.76倍至95倍，明显高于所列行业水平；若2026—2028年盈利预测未能兑现，估值消化可能加剧股价压力。技术上股价已低于MA5、MA10和MA20，且截至9月4日近5个交易日主力资金净流出约1468万元，短期价格仍可能出现较大波动。</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当前的增长逻辑主要来自反刍动物疫苗、宠物动保业务、新产品放量、产品结构优化以及既有产业并购协同。2026年上半年扣非利润增速明显高于收入增速，说明费用控制、制造成本优化和业务结构改善已开始体现；若非口蹄疫产品、宠物业务及相关新产品能够持续放量，利润率存在进一步修复空间。公司研发、资质、生物安全和生产平台构成中长期竞争基础，但传统强制免疫产品单纯依靠扩产或价格上涨推动利润增长的空间有限。</w:t>
      </w:r>
    </w:p>
    <w:p>
      <w:pPr>
        <w:spacing w:after="160" w:line="300"/>
      </w:pPr>
      <w:r>
        <w:rPr>
          <w:sz w:val="22"/>
          <w:szCs w:val="22"/>
        </w:rPr>
        <w:t xml:space="preserve">市场对公司后续盈利改善已有较高预期，机构对2026—2028年归母净利润预测差异较大，2026年预测区间为1.32亿元至3.41亿元，反映各机构对非洲猪瘟疫苗、宠物疫苗和反刍动保业务放量节奏存在较大分歧。以2026年9月11日收盘价计，公司静态估值仍明显高于所列行业水平，因此未来表现更取决于业绩能否持续兑现，而非单一季度的利润反弹。</w:t>
      </w:r>
    </w:p>
    <w:p>
      <w:pPr>
        <w:spacing w:after="160" w:line="300"/>
      </w:pPr>
      <w:r>
        <w:rPr>
          <w:sz w:val="22"/>
          <w:szCs w:val="22"/>
        </w:rPr>
        <w:t xml:space="preserve">后续应重点跟踪反刍和宠物业务增长、新产品及含南非1型口蹄疫相关疫苗的实际销售贡献、毛利率能否在原材料成本压力下继续改善，以及经营现金流与应收账款变化。同时，金新一号基金清算的最终回收金额和损益、5000万元权益类私募基金的投资波动、回购股份后续处置方式，也可能影响非经营性损益、资本结构和市场预期。</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生物股份(600201)_公司公告_生物股份：2025年年度报告新浪财经_新浪网 — https://money.finance.sina.com.cn/corp/view/vCB_AllBulletinDetail.php?id=12151510&amp;stockid=600201&amp;utm_source=openai</w:t>
      </w:r>
    </w:p>
    <w:p>
      <w:pPr>
        <w:spacing w:after="200"/>
      </w:pPr>
      <w:r>
        <w:rPr>
          <w:i/>
          <w:iCs/>
          <w:color w:val="595959"/>
          <w:sz w:val="18"/>
          <w:szCs w:val="18"/>
        </w:rPr>
        <w:t xml:space="preserve">股份有限公司2024年年度报告 — https://static.cninfo.com.cn/finalpage/2025-04-25/1223274643.PDF</w:t>
      </w:r>
    </w:p>
    <w:p>
      <w:pPr>
        <w:spacing w:after="200"/>
      </w:pPr>
      <w:r>
        <w:rPr>
          <w:i/>
          <w:iCs/>
          <w:color w:val="595959"/>
          <w:sz w:val="18"/>
          <w:szCs w:val="18"/>
        </w:rPr>
        <w:t xml:space="preserve">生物股份(600201)_公司公告_生物股份：2025年年度报告新浪财经_新浪网 — https://money.finance.sina.com.cn/corp/view/vCB_AllBulletinDetail.php?id=12151510&amp;stockid=600201</w:t>
      </w:r>
    </w:p>
    <w:p>
      <w:pPr>
        <w:spacing w:after="200"/>
      </w:pPr>
      <w:r>
        <w:rPr>
          <w:i/>
          <w:iCs/>
          <w:color w:val="595959"/>
          <w:sz w:val="18"/>
          <w:szCs w:val="18"/>
        </w:rPr>
        <w:t xml:space="preserve">生物股份(600201)主营业务收入_成本_毛利_和讯网 — https://stockdata.hexun.com/2009_zysrfb_600201.shtml?utm_source=openai</w:t>
      </w:r>
    </w:p>
    <w:p>
      <w:pPr>
        <w:spacing w:after="200"/>
      </w:pPr>
      <w:r>
        <w:rPr>
          <w:i/>
          <w:iCs/>
          <w:color w:val="595959"/>
          <w:sz w:val="18"/>
          <w:szCs w:val="18"/>
        </w:rPr>
        <w:t xml:space="preserve">股份有限公司 — https://stockn.xueqiu.com/SH600201/20230420990836.pdf</w:t>
      </w:r>
    </w:p>
    <w:p>
      <w:pPr>
        <w:spacing w:after="200"/>
      </w:pPr>
      <w:r>
        <w:rPr>
          <w:i/>
          <w:iCs/>
          <w:color w:val="595959"/>
          <w:sz w:val="18"/>
          <w:szCs w:val="18"/>
        </w:rPr>
        <w:t xml:space="preserve">股份有限公司 — https://pdf.dfcfw.com/pdf/H2_AN202404251631319688_1.pdf</w:t>
      </w:r>
    </w:p>
    <w:p>
      <w:pPr>
        <w:spacing w:after="200"/>
      </w:pPr>
      <w:r>
        <w:rPr>
          <w:i/>
          <w:iCs/>
          <w:color w:val="595959"/>
          <w:sz w:val="18"/>
          <w:szCs w:val="18"/>
        </w:rPr>
        <w:t xml:space="preserve">普莱柯生物工程股份有限公司2025年年度报告 — https://static.cninfo.com.cn/finalpage/2026-04-29/1225231206.PDF?utm_source=openai</w:t>
      </w:r>
    </w:p>
    <w:p>
      <w:pPr>
        <w:spacing w:after="200"/>
      </w:pPr>
      <w:r>
        <w:rPr>
          <w:i/>
          <w:iCs/>
          <w:color w:val="595959"/>
          <w:sz w:val="18"/>
          <w:szCs w:val="18"/>
        </w:rPr>
        <w:t xml:space="preserve">中牧股份(600195)_公司公告_中牧股份：2025年年度报告新浪财经_新浪网 — https://money.finance.sina.com.cn/corp/view/vCB_AllBulletinDetail.php?id=12160225&amp;stockid=600195&amp;utm_source=openai</w:t>
      </w:r>
    </w:p>
    <w:p>
      <w:pPr>
        <w:spacing w:after="200"/>
      </w:pPr>
      <w:r>
        <w:rPr>
          <w:i/>
          <w:iCs/>
          <w:color w:val="595959"/>
          <w:sz w:val="18"/>
          <w:szCs w:val="18"/>
        </w:rPr>
        <w:t xml:space="preserve">[财报]：普莱柯：普莱柯2025年年度报告 - 发现报告 — https://www.fxbaogao.com/detail/5387476?utm_source=openai</w:t>
      </w:r>
    </w:p>
    <w:p>
      <w:pPr>
        <w:spacing w:after="200"/>
      </w:pPr>
      <w:r>
        <w:rPr>
          <w:i/>
          <w:iCs/>
          <w:color w:val="595959"/>
          <w:sz w:val="18"/>
          <w:szCs w:val="18"/>
        </w:rPr>
        <w:t xml:space="preserve">科前生物(688526)_公司公告_科前生物：2025年年度报告新浪财经_新浪网 — https://money.finance.sina.com.cn/corp/view/vCB_AllBulletinDetail.php?id=12066432&amp;stockid=688526&amp;utm_source=openai</w:t>
      </w:r>
    </w:p>
    <w:p>
      <w:pPr>
        <w:spacing w:after="200"/>
      </w:pPr>
      <w:r>
        <w:rPr>
          <w:i/>
          <w:iCs/>
          <w:color w:val="595959"/>
          <w:sz w:val="18"/>
          <w:szCs w:val="18"/>
        </w:rPr>
        <w:t xml:space="preserve">瑞普生物股份有限公司 2025 年年度报告全文 — https://static.cninfo.com.cn/finalpage/2026-03-31/1225054294.PDF?utm_source=openai</w:t>
      </w:r>
    </w:p>
    <w:p>
      <w:pPr>
        <w:spacing w:after="200"/>
      </w:pPr>
      <w:r>
        <w:rPr>
          <w:i/>
          <w:iCs/>
          <w:color w:val="595959"/>
          <w:sz w:val="18"/>
          <w:szCs w:val="18"/>
        </w:rPr>
        <w:t xml:space="preserve">生物股份(600201)_股票行情，行情首页_中财网 — https://quote.cfi.cn/quote1029_600201.html</w:t>
      </w:r>
    </w:p>
    <w:p>
      <w:pPr>
        <w:spacing w:after="200"/>
      </w:pPr>
      <w:r>
        <w:rPr>
          <w:i/>
          <w:iCs/>
          <w:color w:val="595959"/>
          <w:sz w:val="18"/>
          <w:szCs w:val="18"/>
        </w:rPr>
        <w:t xml:space="preserve">Jinyu Bio-Tech Stock Price History - Investing.com — https://www.investing.com/equities/jinyu-group-historical-data?utm_source=openai</w:t>
      </w:r>
    </w:p>
    <w:p>
      <w:pPr>
        <w:spacing w:after="200"/>
      </w:pPr>
      <w:r>
        <w:rPr>
          <w:i/>
          <w:iCs/>
          <w:color w:val="595959"/>
          <w:sz w:val="18"/>
          <w:szCs w:val="18"/>
        </w:rPr>
        <w:t xml:space="preserve">生物股份 (600201) - 历史交易数据 | 打板客网 — https://dabanke.com/hangqing-600201.html</w:t>
      </w:r>
    </w:p>
    <w:p>
      <w:pPr>
        <w:spacing w:after="200"/>
      </w:pPr>
      <w:r>
        <w:rPr>
          <w:i/>
          <w:iCs/>
          <w:color w:val="595959"/>
          <w:sz w:val="18"/>
          <w:szCs w:val="18"/>
        </w:rPr>
        <w:t xml:space="preserve">生物股份(600201)股票行情走势技术分析_未来预测_买卖操作建议_英为财情Investing.com — https://cn.investing.com/equities/jinyu-group-technical</w:t>
      </w:r>
    </w:p>
    <w:p>
      <w:pPr>
        <w:spacing w:after="200"/>
      </w:pPr>
      <w:r>
        <w:rPr>
          <w:i/>
          <w:iCs/>
          <w:color w:val="595959"/>
          <w:sz w:val="18"/>
          <w:szCs w:val="18"/>
        </w:rPr>
        <w:t xml:space="preserve">生物股份(600201)资金流向_个股行情_同花顺财经 — https://profile.10jqka.com.cn/600201/funds/?utm_source=openai</w:t>
      </w:r>
    </w:p>
    <w:p>
      <w:pPr>
        <w:spacing w:after="200"/>
      </w:pPr>
      <w:r>
        <w:rPr>
          <w:i/>
          <w:iCs/>
          <w:color w:val="595959"/>
          <w:sz w:val="18"/>
          <w:szCs w:val="18"/>
        </w:rPr>
        <w:t xml:space="preserve">股票行情快报：生物股份（600201）8月19日主力资金净卖出2726.92万元_股票频道_证券之星 — https://stock.stockstar.com/RB2026081900037846.shtml?utm_source=openai</w:t>
      </w:r>
    </w:p>
    <w:p>
      <w:pPr>
        <w:spacing w:after="200"/>
      </w:pPr>
      <w:r>
        <w:rPr>
          <w:i/>
          <w:iCs/>
          <w:color w:val="595959"/>
          <w:sz w:val="18"/>
          <w:szCs w:val="18"/>
        </w:rPr>
        <w:t xml:space="preserve">生物股份(600201) 最新动态_F10_同花顺金融服务网 — https://basic.10jqka.com.cn/600201/?utm_source=openai</w:t>
      </w:r>
    </w:p>
    <w:p>
      <w:pPr>
        <w:spacing w:after="200"/>
      </w:pPr>
      <w:r>
        <w:rPr>
          <w:i/>
          <w:iCs/>
          <w:color w:val="595959"/>
          <w:sz w:val="18"/>
          <w:szCs w:val="18"/>
        </w:rPr>
        <w:t xml:space="preserve">本报告由AI基于公开渠道信息自动检索、整理并生成，信息截至 数据截至2026年9月11日收盘；52周高低点数据截至2026年9月10日至9月11日可交叉核实，但对应精确交易日期未可靠确认。，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2026-09-13T22:52:39.574Z</dcterms:created>
  <dcterms:modified xsi:type="dcterms:W3CDTF">2026-09-13T22:52:39.574Z</dcterms:modified>
</cp:coreProperties>
</file>

<file path=docProps/custom.xml><?xml version="1.0" encoding="utf-8"?>
<Properties xmlns="http://schemas.openxmlformats.org/officeDocument/2006/custom-properties" xmlns:vt="http://schemas.openxmlformats.org/officeDocument/2006/docPropsVTypes"/>
</file>