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河南平高电气股份有限公司 (600312)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行业：电网设备（高压、超高压、特高压输配电装备）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截至2026年9月11日收盘；2026年9月12日至13日为周末，未产生新的A股收盘行情。技术指标主要采用大波浪数据日线、不复权口径，部分均线和技术评级为Investing.com相近时点交叉参考。</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平高电气核心基本面呈现“收入承压、利润改善、订单较充足”的特征：2026年上半年营业收入53.74亿元，同比下降5.64%，归母净利润8.17亿元，同比增长22.87%，综合毛利率提升至约29.75%；公司同期中标国家电网输变电及特高压项目约64.6亿元，并于9月披露合计约9.36亿元的国家电网项目中标结果，但相关项目尚未全部签署正式商务合同，收入和利润贡献仍取决于合同、交付、验收及结算节奏。</w:t>
      </w:r>
    </w:p>
    <w:p>
      <w:pPr>
        <w:spacing w:after="160" w:line="300"/>
      </w:pPr>
      <w:r>
        <w:rPr>
          <w:sz w:val="22"/>
          <w:szCs w:val="22"/>
        </w:rPr>
        <w:t xml:space="preserve">公司盈利改善主要依赖高压特高压产品结构优化、精益制造和成本管控。2025年高压板块收入77.47亿元、毛利率27.76%，运维检修及其他板块毛利率28.90%，而配网板块毛利率降至15.53%、国际板块毛利率为-24.39%，显示高压及运维业务对整体盈利的支撑较强，但配网盈利修复和国际业务扭亏仍是后续观察重点。公司处于特高压交直流开关设备较高壁垒环节，具备技术、资质、试验和客户准入优势，但下游客户集中度较高，2025年前五大客户销售额占年度销售总额79.41%，国家电网及其所属公司占64.32%。</w:t>
      </w:r>
    </w:p>
    <w:p>
      <w:pPr>
        <w:spacing w:after="160" w:line="300"/>
      </w:pPr>
      <w:r>
        <w:rPr>
          <w:sz w:val="22"/>
          <w:szCs w:val="22"/>
        </w:rPr>
        <w:t xml:space="preserve">现金流和营运资金是基本面中需要重点跟踪的部分。截至2025年末，应收账款、应收款项融资及合同资产合计约73.1亿元，约占2025年营业收入58.4%；2025年经营活动现金流量净额为8.11亿元，同比下降73.05%。2026年上半年经营活动现金流量净额进一步为-6.89亿元，同时公司表示存货增加主要与在制品和库存商品增加、保障项目履约有关，后续需观察订单交付能否顺利转化为收入、回款和经营现金流。</w:t>
      </w:r>
    </w:p>
    <w:p>
      <w:pPr>
        <w:spacing w:after="160" w:line="300"/>
      </w:pPr>
      <w:r>
        <w:rPr>
          <w:sz w:val="22"/>
          <w:szCs w:val="22"/>
        </w:rPr>
        <w:t xml:space="preserve">截至2026年9月11日收盘，公司股价19.16元，TTM市盈率约20.44倍、市净率约2.19倍，短期收盘价低于MA5、MA10和MA20，MACD位于零轴下方，技术动能偏弱，但RSI6为34.1且股价接近布林带下轨，存在技术性反弹可能。市场对公司未来盈利仍有较高预期，多机构预测2026—2028年归母净利润约为14.04亿元、17.01亿元和19.70亿元，但相关数据属于机构预测，能否兑现取决于特高压项目交付、收入确认、毛利率持续性及现金回款。</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600312.SH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平高电气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2001年2月21日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实际控制/控股体系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中国电气装备集团有限公司；国务院国资委实际控制</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以高压、超高压、特高压交直流开关设备为核心的输变电装备供应商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主要服务领域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特高压交流、特高压直流、主网变电站及配电网建设</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报告期口径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2025年业务、产量、客户、供应链和资产负债表数据截至2025年12月31日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资源储备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公司属于装备制造企业，未披露煤炭、铜、铝等自然资源储量；制造能力主要以产量、销量、库存量、制造基地和技术能力体现</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高压板块：2025年营业收入77.47亿元，占主营业务收入约62.3%，毛利率27.76%；主要包括72.5—1100kV GIS/H-GIS、T-GCB、敞开式SF6断路器、交流及直流隔离开关和接地开关等。</w:t>
      </w:r>
    </w:p>
    <w:p>
      <w:pPr>
        <w:pStyle w:val="ListParagraph"/>
        <w:numPr>
          <w:ilvl w:val="0"/>
          <w:numId w:val="2"/>
        </w:numPr>
        <w:spacing w:after="80" w:line="280"/>
      </w:pPr>
      <w:r>
        <w:rPr>
          <w:sz w:val="22"/>
          <w:szCs w:val="22"/>
        </w:rPr>
        <w:t xml:space="preserve">配网板块：2025年营业收入32.64亿元，占主营业务收入约26.2%，毛利率15.53%；包括配电变压器、预装式变电站、低压成套设备、低压电能质量治理装置及智能配电自动化终端等。</w:t>
      </w:r>
    </w:p>
    <w:p>
      <w:pPr>
        <w:pStyle w:val="ListParagraph"/>
        <w:numPr>
          <w:ilvl w:val="0"/>
          <w:numId w:val="2"/>
        </w:numPr>
        <w:spacing w:after="80" w:line="280"/>
      </w:pPr>
      <w:r>
        <w:rPr>
          <w:sz w:val="22"/>
          <w:szCs w:val="22"/>
        </w:rPr>
        <w:t xml:space="preserve">国际板块：2025年营业收入2.58亿元，占主营业务收入约2.1%，毛利率-24.39%；受国际政治经济环境、存量项目推进、人力及施工管理成本等因素影响，仍处于亏损状态。</w:t>
      </w:r>
    </w:p>
    <w:p>
      <w:pPr>
        <w:pStyle w:val="ListParagraph"/>
        <w:numPr>
          <w:ilvl w:val="0"/>
          <w:numId w:val="2"/>
        </w:numPr>
        <w:spacing w:after="80" w:line="280"/>
      </w:pPr>
      <w:r>
        <w:rPr>
          <w:sz w:val="22"/>
          <w:szCs w:val="22"/>
        </w:rPr>
        <w:t xml:space="preserve">运维检修及其他：2025年营业收入11.73亿元，占主营业务收入约9.4%，毛利率28.90%；包括检修服务、备品备件、设备全寿命周期管理及其他相关业务。</w:t>
      </w:r>
    </w:p>
    <w:p>
      <w:pPr>
        <w:pStyle w:val="ListParagraph"/>
        <w:numPr>
          <w:ilvl w:val="0"/>
          <w:numId w:val="2"/>
        </w:numPr>
        <w:spacing w:after="80" w:line="280"/>
      </w:pPr>
      <w:r>
        <w:rPr>
          <w:sz w:val="22"/>
          <w:szCs w:val="22"/>
        </w:rPr>
        <w:t xml:space="preserve">新业务：新能源并网装备、充电桩、智能终端、电锅炉及热储能、海上风电并网装备等，纪要未披露其单独收入及利润数据。</w:t>
      </w:r>
    </w:p>
    <w:p>
      <w:pPr>
        <w:pStyle w:val="ListParagraph"/>
        <w:numPr>
          <w:ilvl w:val="0"/>
          <w:numId w:val="2"/>
        </w:numPr>
        <w:spacing w:after="80" w:line="280"/>
      </w:pPr>
      <w:r>
        <w:rPr>
          <w:sz w:val="22"/>
          <w:szCs w:val="22"/>
        </w:rPr>
        <w:t xml:space="preserve">2025年主营业务合计营业收入124.42亿元、营业成本95.08亿元，综合毛利率23.58%。</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平高电气处于输配电设备产业链中游偏高端位置，核心环节是将金属材料、绝缘材料、机械机构和高端电气零部件集成为高压、超高压、特高压开关设备，并提供设计、制造、试验、成套、工程服务及运维检修。公司在特高压开关设备领域具备技术、资质、试验、运行经验和客户准入壁垒，但下游客户集中于电网企业，定价仍受集中招标和采购规则约束。</w:t>
      </w:r>
    </w:p>
    <w:p>
      <w:pPr>
        <w:pStyle w:val="ListParagraph"/>
        <w:numPr>
          <w:ilvl w:val="0"/>
          <w:numId w:val="2"/>
        </w:numPr>
        <w:spacing w:after="80" w:line="280"/>
      </w:pPr>
      <w:r>
        <w:rPr>
          <w:sz w:val="22"/>
          <w:szCs w:val="22"/>
        </w:rPr>
        <w:t xml:space="preserve">主要采购铜、铝等导电及结构材料，钢材及机械结构件，SF6气体及环保型替代气体相关材料，环氧树脂、复合绝缘子等绝缘材料。</w:t>
      </w:r>
    </w:p>
    <w:p>
      <w:pPr>
        <w:pStyle w:val="ListParagraph"/>
        <w:numPr>
          <w:ilvl w:val="0"/>
          <w:numId w:val="2"/>
        </w:numPr>
        <w:spacing w:after="80" w:line="280"/>
      </w:pPr>
      <w:r>
        <w:rPr>
          <w:sz w:val="22"/>
          <w:szCs w:val="22"/>
        </w:rPr>
        <w:t xml:space="preserve">主要采购或使用液压机构、弹簧机构、真空灭弧室、套管、避雷器、电子控制及监测部件，以及配网设备所需的变压器组件、开关柜部件、智能终端和自动化元器件。</w:t>
      </w:r>
    </w:p>
    <w:p>
      <w:pPr>
        <w:pStyle w:val="ListParagraph"/>
        <w:numPr>
          <w:ilvl w:val="0"/>
          <w:numId w:val="2"/>
        </w:numPr>
        <w:spacing w:after="80" w:line="280"/>
      </w:pPr>
      <w:r>
        <w:rPr>
          <w:sz w:val="22"/>
          <w:szCs w:val="22"/>
        </w:rPr>
        <w:t xml:space="preserve">2025年输配电及控制设备制造业直接材料金额约77.13亿元，占主营业务成本81.12%，成本结构以直接材料为主，对铜、铝、钢材及高端电气零部件价格较为敏感。</w:t>
      </w:r>
    </w:p>
    <w:p>
      <w:pPr>
        <w:pStyle w:val="ListParagraph"/>
        <w:numPr>
          <w:ilvl w:val="0"/>
          <w:numId w:val="2"/>
        </w:numPr>
        <w:spacing w:after="80" w:line="280"/>
      </w:pPr>
      <w:r>
        <w:rPr>
          <w:sz w:val="22"/>
          <w:szCs w:val="22"/>
        </w:rPr>
        <w:t xml:space="preserve">年报提到2025年大宗原材料价格波动频繁，但铜、银等原材料占公司总体成本的比例较低，原材料占主营业务成本比例同比基本稳定；不能据此推导公司利润完全由铜价决定。</w:t>
      </w:r>
    </w:p>
    <w:p>
      <w:pPr>
        <w:pStyle w:val="ListParagraph"/>
        <w:numPr>
          <w:ilvl w:val="0"/>
          <w:numId w:val="2"/>
        </w:numPr>
        <w:spacing w:after="80" w:line="280"/>
      </w:pPr>
      <w:r>
        <w:rPr>
          <w:sz w:val="22"/>
          <w:szCs w:val="22"/>
        </w:rPr>
        <w:t xml:space="preserve">2025年前五名供应商采购金额18.30亿元，占年度采购总额19.80%；单一供应商采购占比最高为1.87%，不存在单一供应商采购比例超过50%的情况。普通原材料供应商较分散，公司整体替代能力相对较强；但部分高压设备专用零部件、特种绝缘材料、液压机构和高端电气元件可能受技术认证及切换周期限制，具体供应商集中度未披露。</w:t>
      </w:r>
    </w:p>
    <w:p>
      <w:pPr>
        <w:pStyle w:val="ListParagraph"/>
        <w:numPr>
          <w:ilvl w:val="0"/>
          <w:numId w:val="2"/>
        </w:numPr>
        <w:spacing w:after="80" w:line="280"/>
      </w:pPr>
      <w:r>
        <w:rPr>
          <w:sz w:val="22"/>
          <w:szCs w:val="22"/>
        </w:rPr>
        <w:t xml:space="preserve">主要客户包括国家电网有限公司及其所属公司、中国南方电网及其所属公司、中国华电等发电集团、地方电力公司、工矿及石化等工业客户、轨道交通客户，以及海外电力公司和工程项目客户。</w:t>
      </w:r>
    </w:p>
    <w:p>
      <w:pPr>
        <w:pStyle w:val="ListParagraph"/>
        <w:numPr>
          <w:ilvl w:val="0"/>
          <w:numId w:val="2"/>
        </w:numPr>
        <w:spacing w:after="80" w:line="280"/>
      </w:pPr>
      <w:r>
        <w:rPr>
          <w:sz w:val="22"/>
          <w:szCs w:val="22"/>
        </w:rPr>
        <w:t xml:space="preserve">公司主要通过电网集中招标、直接采购和工程项目等方式销售。2025年前五名客户销售额99.39亿元，占年度销售总额79.41%；国家电网有限公司及其所属公司销售额80.50亿元，占年度销售总额64.32%。上述集中度数据为2025年年报口径，但公司未披露所有前五大客户的完整名称，不能据此完整判断客户集中度的全部构成，具体以最新年报为准。</w:t>
      </w:r>
    </w:p>
    <w:p>
      <w:pPr>
        <w:pStyle w:val="ListParagraph"/>
        <w:numPr>
          <w:ilvl w:val="0"/>
          <w:numId w:val="2"/>
        </w:numPr>
        <w:spacing w:after="80" w:line="280"/>
      </w:pPr>
      <w:r>
        <w:rPr>
          <w:sz w:val="22"/>
          <w:szCs w:val="22"/>
        </w:rPr>
        <w:t xml:space="preserve">下游客户信用质量较高、长期合作关系较稳定，但国家电网、南方电网等电网客户通常采用集中招标，价格、交付、验收和付款条件受招标规则约束，公司不能完全按照成本变化自由提价。</w:t>
      </w:r>
    </w:p>
    <w:p>
      <w:pPr>
        <w:pStyle w:val="ListParagraph"/>
        <w:numPr>
          <w:ilvl w:val="0"/>
          <w:numId w:val="2"/>
        </w:numPr>
        <w:spacing w:after="80" w:line="280"/>
      </w:pPr>
      <w:r>
        <w:rPr>
          <w:sz w:val="22"/>
          <w:szCs w:val="22"/>
        </w:rPr>
        <w:t xml:space="preserve">公司具有技术、资质、品牌和供应商准入壁垒，但整体属于供应商集中度低、客户集中度高的电网设备制造商，议价能力受到电网集中采购和资本开支节奏限制。</w:t>
      </w:r>
    </w:p>
    <w:p>
      <w:pPr>
        <w:pStyle w:val="ListParagraph"/>
        <w:numPr>
          <w:ilvl w:val="0"/>
          <w:numId w:val="2"/>
        </w:numPr>
        <w:spacing w:after="80" w:line="280"/>
      </w:pPr>
      <w:r>
        <w:rPr>
          <w:sz w:val="22"/>
          <w:szCs w:val="22"/>
        </w:rPr>
        <w:t xml:space="preserve">特高压市场参与者较少、技术和认证壁垒较高；110kV—220kV及配网市场参与者更多，产品标准化和价格竞争程度更高。海外业务还面临当地认证、项目融资、政治风险、汇率和回款风险。</w:t>
      </w:r>
    </w:p>
    <w:p>
      <w:pPr>
        <w:pStyle w:val="ListParagraph"/>
        <w:numPr>
          <w:ilvl w:val="0"/>
          <w:numId w:val="2"/>
        </w:numPr>
        <w:spacing w:after="80" w:line="280"/>
      </w:pPr>
      <w:r>
        <w:rPr>
          <w:sz w:val="22"/>
          <w:szCs w:val="22"/>
        </w:rPr>
        <w:t xml:space="preserve">截至2025年12月31日，应收账款61.68亿元，占营业收入125.17亿元约49.3%；应收款项融资4.27亿元、合同资产7.20亿元，三项合计约73.1亿元，占营业收入约58.4%。应付账款57.76亿元、应付票据19.62亿元，合计77.38亿元，占营业收入约61.8%；合同负债17.30亿元。上述比例依据年报数据计算，不等同于周转天数，公司未直接披露应收账款周转天数。数据反映项目交付、验收和回款周期较长，同时应付账款、应付票据及合同负债对营运资金形成部分对冲。2025年经营活动现金流量净额8.11亿元，较2024年的30.08亿元下降73.05%，说明利润增长未完全同步转化为经营现金流，项目回款和营运资金仍是观察重点。</w:t>
      </w:r>
    </w:p>
    <w:p>
      <w:pPr>
        <w:pStyle w:val="ListParagraph"/>
        <w:numPr>
          <w:ilvl w:val="0"/>
          <w:numId w:val="2"/>
        </w:numPr>
        <w:spacing w:after="80" w:line="280"/>
      </w:pPr>
      <w:r>
        <w:rPr>
          <w:sz w:val="22"/>
          <w:szCs w:val="22"/>
        </w:rPr>
        <w:t xml:space="preserve">公司2025年客户集中度明显高于供应商集中度：前五大客户销售额占年度销售总额79.41%，国家电网及其所属公司占64.32%；前五名供应商采购额占年度采购总额19.80%，单一供应商最高占比1.87%。客户集中度数据为2025年年度报告披露口径，客户完整名单未披露，且前五大客户构成未能全部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约2.29%（归母净利润/营业收入简化口径）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高压板块毛利率24.41%，特高压产品收入结构改善；国际业务毛利率-120.46%，对整体盈利形成显著拖累。</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约21.38%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约7.36%（归母净利润/营业收入简化口径；年报点评销售净利率约8.31%）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高压板块收入增长，配网业务通过技术标准化、降本增效和产业结构调整改善盈利，国际业务扭亏，产品结构和经营效率改善。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22.36%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约8.25%（归母净利润/营业收入简化口径；年报可视化销售净利率9.02%）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特高压产品确认规模增加，产品结构优化和提质增效推动高压板块毛利率提升；国际业务因项目延期、成本增加和客户资信等因素继续亏损。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23.58%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约8.95%（归母净利润/营业收入简化口径）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高压板块毛利率提升至27.76%，运维检修及其他板块毛利率28.90%；直接材料成本同比下降0.88%，精益生产和提质增效改善盈利，但配网板块毛利率降至15.53%，国际板块仍为负毛利。</w:t>
            </w:r>
          </w:p>
        </w:tc>
      </w:tr>
    </w:tbl>
    <w:p>
      <w:pPr>
        <w:spacing w:before="200"/>
      </w:pPr>
    </w:p>
    <w:p>
      <w:pPr>
        <w:spacing w:after="160" w:line="300"/>
      </w:pPr>
      <w:r>
        <w:rPr>
          <w:sz w:val="22"/>
          <w:szCs w:val="22"/>
        </w:rPr>
        <w:t xml:space="preserve">公司位于电力装备产业链中游偏高端，不属于拥有自然资源定价权的上游资源企业，也不属于具有强品牌溢价的终端消费企业；其特高压开关设备凭借技术、资质、试验和运行经验形成较高壁垒。未来利润率改善主要依赖特高压高价值产品交付占比提升、产品结构升级、精益制造、运维服务扩张、配网盈利修复及国际项目风险控制，而非对下游客户自由提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53.74亿元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同比下降5.64%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归母净利润8.17亿元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同比增长22.87%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125.17亿元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同比增长0.93%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归母净利润11.20亿元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同比增长9.45%</w:t>
            </w:r>
          </w:p>
        </w:tc>
      </w:tr>
    </w:tbl>
    <w:p>
      <w:pPr>
        <w:spacing w:after="200"/>
      </w:pPr>
      <w:r>
        <w:rPr>
          <w:i/>
          <w:iCs/>
          <w:color w:val="595959"/>
          <w:sz w:val="18"/>
          <w:szCs w:val="18"/>
        </w:rPr>
        <w:t xml:space="preserve">最新一期正式财报为2026年半年度报告，公告日期为2026年8月20日，报告期截至2026年6月30日，未经审计。2026年上半年扣非归母净利润为7.98亿元，同比增长20.76%；基本每股收益0.6020元，同比增长22.88%。2025年全年扣非归母净利润为10.93亿元，同比增长10.10%；基本每股收益0.8253元。2026年上半年经营活动产生的现金流量净额为-6.89亿元，上年同期为-4.30亿元；2025年全年经营活动现金流量净额为8.11亿元，同比下降73.05%。</w:t>
      </w:r>
    </w:p>
    <w:p>
      <w:pPr>
        <w:spacing w:after="160" w:line="300"/>
      </w:pPr>
      <w:r>
        <w:rPr>
          <w:sz w:val="22"/>
          <w:szCs w:val="22"/>
        </w:rPr>
        <w:t xml:space="preserve">公司2026年上半年呈现收入下降、利润增长、毛利率提升的特征。综合毛利率约29.75%，上年同期约24.72%；净利率约16.02%，上年同期约12.60%。利润增速明显高于收入增速，主要体现为毛利率和盈利能力改善。2026年第二季度营业收入29.24亿元，同比下降8.19%；归母净利润4.02亿元，同比增长31.20%。截至2026年6月30日，归属于上市公司股东的净资产为118.66亿元，较2025年末增长5.50%；总资产216.34亿元，较2025年末下降2.22%；资产负债率约42.85%。需要关注经营现金流持续为负、项目交付、收入确认节奏及应收账款回款情况。</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东方财富盈利预测页面显示的多机构汇总预测，2026年和2027年分别有15家机构预测，2028年有13家机构预测。相关页面数据抓取时间相对早于2026年9月10日，不一定完全反映2026年8月19日中报之后所有机构的最新调整，建议作为多机构基准情景而非绝对的最新一致预期。近期机构单项预测显示，2026年EPS大致集中在0.97—1.06元，2027年集中在1.14—1.31元，2028年集中在1.34—1.55元。具体机构预测中，国联民生证券预计2026—2028年营业收入分别为141.06亿元、158.87亿元、176.80亿元，归母净利润分别为13.87亿元、17.35亿元、20.14亿元；东吴证券预计归母净利润分别为14.1亿元、17.4亿元、20.5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约138.4亿元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约14.04亿元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约25.4%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约1.0357元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约155.6亿元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约17.01亿元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约1.2529元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约173.3亿元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约19.70亿元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约15.8%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约1.4514元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目标价24.50元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Overweight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目标价27.85元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目标价24.00元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纪要未披露目标价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近180天汇总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买入15家、增持3家、未评级3家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截至2026年9月10日前后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覆盖机构17家，统计研报21份；8份研报给出目标价，目标价中位数为24.72元，区间为21.56—27.85元</w:t>
            </w:r>
          </w:p>
        </w:tc>
      </w:tr>
    </w:tbl>
    <w:p>
      <w:pPr>
        <w:spacing w:before="200"/>
      </w:pPr>
    </w:p>
    <w:p>
      <w:pPr>
        <w:spacing w:after="160" w:line="300"/>
      </w:pPr>
      <w:r>
        <w:rPr>
          <w:sz w:val="22"/>
          <w:szCs w:val="22"/>
        </w:rPr>
        <w:t xml:space="preserve">截至2026年9月10日，股价约19.30元，总市值约261.9亿元，市盈率TTM约20.59倍，市净率约2.21倍，市销率TTM约2.15倍，每股净资产约8.74元。按照东方财富多机构一致预测EPS计算，2026—2028年预测PE约为18.6倍、15.4倍和13.3倍；按照近期机构预测区间计算，2026—2028年预测PE大致为18.2—19.9倍、14.7—16.9倍和12.5—14.4倍。若未来业绩能够按机构预测增长，当前股价对应的远期PE将逐年下降。相较机构目标价中位数24.72元，当前股价存在一定预期空间，但该空间依赖于特高压订单交付、收入确认节奏及盈利预测兑现。主要不确定性包括特高压和电网投资项目建设、招标及交付节奏低于预期，项目收入确认继续后移，原材料价格上涨压缩毛利率，合同资产、应收账款和存货增长带来的现金流压力，以及2026年上半年较高毛利率能否持续。机构预测来源于研报汇总，并非公司业绩指引，不能视为公司正式承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中标国家电网项目合计约9.36亿元</w:t>
      </w:r>
    </w:p>
    <w:p>
      <w:pPr>
        <w:spacing w:after="160" w:line="300"/>
      </w:pPr>
      <w:r>
        <w:rPr>
          <w:sz w:val="22"/>
          <w:szCs w:val="22"/>
        </w:rPr>
        <w:t xml:space="preserve">2026年9月9日，公司及旗下河南平芝高压开关有限公司、天津平高智能电气有限公司、上海平高天灵开关有限公司、河南平高通用电气有限公司、平高集团威海高压电器有限公司，以及合营公司平高东芝（廊坊）避雷器有限公司，成为国家电网相关项目中标单位。其中，国家电网有限公司2026年输变电项目第四次变电设备（含电缆）公开招标采购中标金额合计约8.50亿元；第四次变电设备直接采购（单一来源）中标金额合计约0.86亿元，两项合计约9.36亿元，约占公司2025年营业收入的7.48%。截至公告披露日，公司尚未与国家电网相关机构签署正式商务合同，合同条款、交货时间及对当期业绩的影响存在不确定性，最终以正式合同为准。</w:t>
      </w:r>
    </w:p>
    <w:p>
      <w:pPr>
        <w:pStyle w:val="Heading2"/>
        <w:spacing w:after="120" w:before="240"/>
      </w:pPr>
      <w:r>
        <w:rPr>
          <w:b/>
          <w:bCs/>
          <w:color w:val="2E74B5"/>
          <w:sz w:val="24"/>
          <w:szCs w:val="24"/>
        </w:rPr>
        <w:t xml:space="preserve">4.2 2026年半年度净利润同比增长，营业收入同比下降</w:t>
      </w:r>
    </w:p>
    <w:p>
      <w:pPr>
        <w:spacing w:after="160" w:line="300"/>
      </w:pPr>
      <w:r>
        <w:rPr>
          <w:sz w:val="22"/>
          <w:szCs w:val="22"/>
        </w:rPr>
        <w:t xml:space="preserve">公司于2026年8月20日披露2026年半年度报告。2026年上半年，公司实现归属于上市公司股东的净利润约8.17亿元，同比增长22.87%；基本每股收益约0.602元；营业收入约53.74亿元，同比下降约5.64%。公司表示，收入结构发生变化，重点项目占比提升，同时强化成本费用全流程精益管控，增厚产品盈利空间，因此利润增速高于收入增速。</w:t>
      </w:r>
    </w:p>
    <w:p>
      <w:pPr>
        <w:pStyle w:val="Heading2"/>
        <w:spacing w:after="120" w:before="240"/>
      </w:pPr>
      <w:r>
        <w:rPr>
          <w:b/>
          <w:bCs/>
          <w:color w:val="2E74B5"/>
          <w:sz w:val="24"/>
          <w:szCs w:val="24"/>
        </w:rPr>
        <w:t xml:space="preserve">4.3 半年度业绩说明会披露订单及产品进展</w:t>
      </w:r>
    </w:p>
    <w:p>
      <w:pPr>
        <w:spacing w:after="160" w:line="300"/>
      </w:pPr>
      <w:r>
        <w:rPr>
          <w:sz w:val="22"/>
          <w:szCs w:val="22"/>
        </w:rPr>
        <w:t xml:space="preserve">2026年8月27日，公司召开2026年半年度业绩说明会。公司表示，2026年上半年中标国家电网输变电项目和特高压项目合计约64.6亿元，在手订单较为充沛；所属平芝公司1100kV GIS新产品开发已完成型式试验，并持续拓展两网核心市场、网外央企客户及海外单机设备出口市场。公司还表示，存货增加主要与在制品及库存商品增加有关，目的是保证项目按期履约，相关存货将随着产品交付逐步形成收入。公司针对应收款项预期信用风险进行了会计估计变更，并表示关联方客户信用风险总体可控，本次计提坏账准备不代表实际坏账已经发生。</w:t>
      </w:r>
    </w:p>
    <w:p>
      <w:pPr>
        <w:pStyle w:val="Heading2"/>
        <w:spacing w:after="120" w:before="240"/>
      </w:pPr>
      <w:r>
        <w:rPr>
          <w:b/>
          <w:bCs/>
          <w:color w:val="2E74B5"/>
          <w:sz w:val="24"/>
          <w:szCs w:val="24"/>
        </w:rPr>
        <w:t xml:space="preserve">4.4 拟实施2026年半年度现金分红</w:t>
      </w:r>
    </w:p>
    <w:p>
      <w:pPr>
        <w:spacing w:after="160" w:line="300"/>
      </w:pPr>
      <w:r>
        <w:rPr>
          <w:sz w:val="22"/>
          <w:szCs w:val="22"/>
        </w:rPr>
        <w:t xml:space="preserve">2026年8月20日，公司披露2026年半年度利润分配方案，拟每10股派发现金红利2.42元（含税）。按照公告披露时公司总股本13.56921309亿股计算，预计派发现金红利约3.2837亿元（含税），现金分红比例约40.20%。该方案基于公司2026年上半年未经审计的归属于上市公司股东净利润8.1685亿元，且已获公司2025年年度股东会授权，无需再次提交股东会审议。</w:t>
      </w:r>
    </w:p>
    <w:p>
      <w:pPr>
        <w:pStyle w:val="Heading2"/>
        <w:spacing w:after="120" w:before="240"/>
      </w:pPr>
      <w:r>
        <w:rPr>
          <w:b/>
          <w:bCs/>
          <w:color w:val="2E74B5"/>
          <w:sz w:val="24"/>
          <w:szCs w:val="24"/>
        </w:rPr>
        <w:t xml:space="preserve">4.5 Templeton相关主体持股比例达到5%以上</w:t>
      </w:r>
    </w:p>
    <w:p>
      <w:pPr>
        <w:spacing w:after="160" w:line="300"/>
      </w:pPr>
      <w:r>
        <w:rPr>
          <w:sz w:val="22"/>
          <w:szCs w:val="22"/>
        </w:rPr>
        <w:t xml:space="preserve">2026年7月13日，公司披露股东增持股份达到5%的权益变动提示性公告及简式权益变动报告书。截至2026年7月6日，Templeton Asset Management Ltd.与Franklin Templeton Investment Management Limited通过沪港通机制集中交易，合计持有公司股份73,571,928股，占公司总股本的5.42%，两家主体受同一主体控制，构成一致行动人关系。本次权益变动属于增持，不触及要约收购，不会导致公司控股股东或实际控制人发生变化。香港中央结算有限公司为沪港通机制下的名义持有人，不能简单等同于单一投资者或单一基金的最终持股。</w:t>
      </w:r>
    </w:p>
    <w:p>
      <w:pPr>
        <w:pStyle w:val="Heading2"/>
        <w:spacing w:after="120" w:before="240"/>
      </w:pPr>
      <w:r>
        <w:rPr>
          <w:b/>
          <w:bCs/>
          <w:color w:val="2E74B5"/>
          <w:sz w:val="24"/>
          <w:szCs w:val="24"/>
        </w:rPr>
        <w:t xml:space="preserve">4.6 参股公司平高易电完成清算注销</w:t>
      </w:r>
    </w:p>
    <w:p>
      <w:pPr>
        <w:spacing w:after="160" w:line="300"/>
      </w:pPr>
      <w:r>
        <w:rPr>
          <w:sz w:val="22"/>
          <w:szCs w:val="22"/>
        </w:rPr>
        <w:t xml:space="preserve">2026年8月6日，公司披露全资子公司完成清算注销参股公司暨关联交易进展公告。平高易电已取得天津市东丽区市场监督管理局出具的《登记通知书》，并完成工商注销登记。公司表示，该事项不会对公司整体业务发展和盈利水平产生重大影响，不会导致公司合并财务报表范围发生变化，也不存在损害公司及全体股东利益的情形。该事项属于参股公司清算退出，不属于重大并购重组。</w:t>
      </w:r>
    </w:p>
    <w:p>
      <w:pPr>
        <w:pStyle w:val="Heading2"/>
        <w:spacing w:after="120" w:before="240"/>
      </w:pPr>
      <w:r>
        <w:rPr>
          <w:b/>
          <w:bCs/>
          <w:color w:val="2E74B5"/>
          <w:sz w:val="24"/>
          <w:szCs w:val="24"/>
        </w:rPr>
        <w:t xml:space="preserve">4.7 550kV滤波器组断路器技术成果获得一等奖</w:t>
      </w:r>
    </w:p>
    <w:p>
      <w:pPr>
        <w:spacing w:after="160" w:line="300"/>
      </w:pPr>
      <w:r>
        <w:rPr>
          <w:sz w:val="22"/>
          <w:szCs w:val="22"/>
        </w:rPr>
        <w:t xml:space="preserve">2026年9月8日，公司官网披露，公司所属智慧高压电器（河南）有限公司牵头申报的《550kV滤波器组断路器产业化关键技术研究及应用》获得第八届全国设备管理与技术创新成果评选技术类一等奖。该事项反映公司在550kV滤波器组断路器及特高压直流输电核心装备方面的技术研发和产业化进展，但公开信息未披露对应订单金额、收入规模或利润贡献，暂无法量化其业绩影响。</w:t>
      </w:r>
    </w:p>
    <w:p>
      <w:pPr>
        <w:pStyle w:val="Heading2"/>
        <w:spacing w:after="120" w:before="240"/>
      </w:pPr>
      <w:r>
        <w:rPr>
          <w:b/>
          <w:bCs/>
          <w:color w:val="2E74B5"/>
          <w:sz w:val="24"/>
          <w:szCs w:val="24"/>
        </w:rPr>
        <w:t xml:space="preserve">4.8 截至2026年9月11日未发现新发布前三季度业绩预告或业绩快报</w:t>
      </w:r>
    </w:p>
    <w:p>
      <w:pPr>
        <w:spacing w:after="160" w:line="300"/>
      </w:pPr>
      <w:r>
        <w:rPr>
          <w:sz w:val="22"/>
          <w:szCs w:val="22"/>
        </w:rPr>
        <w:t xml:space="preserve">截至2026年9月11日，在本次检索到的2026年8月至9月公告中，未发现公司新发布2026年前三季度业绩预告或业绩快报。近期业绩信息主要来自2026年半年度报告和8月27日业绩说明会，后续需关注三季报或三季度业绩预告是否按交易所规则发布。</w:t>
      </w:r>
    </w:p>
    <w:p>
      <w:pPr>
        <w:pStyle w:val="Heading2"/>
        <w:spacing w:after="120" w:before="240"/>
      </w:pPr>
      <w:r>
        <w:rPr>
          <w:b/>
          <w:bCs/>
          <w:color w:val="2E74B5"/>
          <w:sz w:val="24"/>
          <w:szCs w:val="24"/>
        </w:rPr>
        <w:t xml:space="preserve">4.9 截至2026年9月11日未检索到股份回购公告</w:t>
      </w:r>
    </w:p>
    <w:p>
      <w:pPr>
        <w:spacing w:after="160" w:line="300"/>
      </w:pPr>
      <w:r>
        <w:rPr>
          <w:sz w:val="22"/>
          <w:szCs w:val="22"/>
        </w:rPr>
        <w:t xml:space="preserve">截至2026年9月11日，未检索到公司在2026年8月至9月发布股份回购方案、回购进展或回购完成公告。公司近期股东层面的主要变化为Templeton相关主体增持达到5%以上，而非上市公司回购。</w:t>
      </w:r>
    </w:p>
    <w:p>
      <w:pPr>
        <w:pStyle w:val="Heading2"/>
        <w:spacing w:after="120" w:before="240"/>
      </w:pPr>
      <w:r>
        <w:rPr>
          <w:b/>
          <w:bCs/>
          <w:color w:val="2E74B5"/>
          <w:sz w:val="24"/>
          <w:szCs w:val="24"/>
        </w:rPr>
        <w:t xml:space="preserve">4.10 截至2026年9月11日未发现重大监管处罚或并购重组公告</w:t>
      </w:r>
    </w:p>
    <w:p>
      <w:pPr>
        <w:spacing w:after="160" w:line="300"/>
      </w:pPr>
      <w:r>
        <w:rPr>
          <w:sz w:val="22"/>
          <w:szCs w:val="22"/>
        </w:rPr>
        <w:t xml:space="preserve">截至2026年9月11日，未检索到公司在2026年8月至9月被中国证监会、上海证券交易所公开处罚、立案调查或采取重大监管措施的公告，但该结论不能排除尚未公开或未被搜索引擎收录的非重大事项。同时，未发现公司披露重大资产重组、发行股份购买资产或重大并购公告。近期与资产事项相关的主要公告为天津平高易电科技有限公司清算注销完成，属于参股公司清算退出。</w:t>
      </w:r>
    </w:p>
    <w:p>
      <w:pPr>
        <w:pStyle w:val="Heading2"/>
        <w:spacing w:after="120" w:before="240"/>
      </w:pPr>
      <w:r>
        <w:rPr>
          <w:b/>
          <w:bCs/>
          <w:color w:val="2E74B5"/>
          <w:sz w:val="24"/>
          <w:szCs w:val="24"/>
        </w:rPr>
        <w:t xml:space="preserve">4.11 近期消息面综合判断</w:t>
      </w:r>
    </w:p>
    <w:p>
      <w:pPr>
        <w:spacing w:after="160" w:line="300"/>
      </w:pPr>
      <w:r>
        <w:rPr>
          <w:sz w:val="22"/>
          <w:szCs w:val="22"/>
        </w:rPr>
        <w:t xml:space="preserve">截至2026年9月11日，公司近期消息面以国家电网订单、中期盈利改善、中期现金分红和机构增持为主，基本面催化偏正面。需要关注收入同比下降但利润增长、存货及应收账款管理、约14亿元绿色低碳智慧工厂投资带来的资本开支压力，以及订单交付和回款节奏。9.36亿元中标金额尚未对应正式商务合同，不等同于已经确认的收入或利润，实际业绩贡献取决于合同签署、产品交付、验收及结算安排。</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19.16元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-0.14元，跌幅-0.73%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19.18元/19.34元/18.60元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20.81百万股，约2081万股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量比/日内振幅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量比约1.07；日内振幅约3.83%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近20日平均振幅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约260亿元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TTM动态市盈率/市净率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约20.44倍/约2.19倍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前复权口径：14.84~25.45元；其他未复权或不同行情口径：15.12~25.65元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19.62元/19.70元/19.81元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收盘价19.16元低于三条短期均线，MA5低于MA10、MA10低于MA20，呈弱势排列。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MA50约19.72元；MA100约19.78元；MA200约19.74元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以上为Investing.com相近时点参考值，时间戳和计算时点与收盘数据并不完全一致，不属于严格同口径指标。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DIF：-0.01；DEA：0.10；MACD柱：-0.22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MACD柱位于零轴下方，DIF低于DEA，短线动能偏弱。MACD柱采用2×（DIF－DEA）口径，不宜与其他平台数值机械比较。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RSI6：34.1；RSI12：42.5；RSI24：47.4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RSI6接近传统弱势或超卖观察区但尚未极端超卖；短期动能弱于中期，存在技术性反弹可能，但尚未确认趋势反转。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Investing.com技术参考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14日RSI：27.285；MACD：-0.21；技术评级：强力卖出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该数据与大波浪RSI6不同，主要源于周期和计算时点差异；两平台均指向中短期动能偏弱、短周期指标接近低位。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上轨20.54元；中轨19.81元；下轨19.08元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收盘价位于下轨与中轨之间，距离下轨约0.08元、距离中轨约0.65元；尚未重新站回中轨。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近期成交量与价格结构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最近5个交易日成交额约2.72亿~4.95亿元，换手率约1.04%~1.80%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9月11日成交额较9月10日放大但股价仍下跌，属于放量下跌后出现一定承接，尚不能据此判断调整结束。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最近10个交易日合计净流入约930万元；最近3个交易日连续净流入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9月10日和9月11日均出现主力资金净流入而股价收跌，资金流入与价格表现存在分歧；主力资金为成交金额分档统计，不等同于真实机构建仓。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近60个交易日区间位置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当前价格高于近一年约48%的交易日收盘价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股价处于近一年价格区间中部偏下，近期自20元上方回落至19元附近密集博弈区。</w:t>
            </w:r>
          </w:p>
        </w:tc>
      </w:tr>
    </w:tbl>
    <w:p>
      <w:pPr>
        <w:spacing w:before="200"/>
      </w:pPr>
    </w:p>
    <w:p>
      <w:pPr>
        <w:spacing w:after="160" w:line="300"/>
      </w:pPr>
      <w:r>
        <w:rPr>
          <w:sz w:val="22"/>
          <w:szCs w:val="22"/>
        </w:rPr>
        <w:t xml:space="preserve">截至2026年9月11日，平高电气收盘19.16元，低于MA5、MA10和MA20，短期均线呈弱势排列；MACD位于零轴下方，RSI6降至34.1，整体技术动能偏弱，但短周期指标已接近低位。股价靠近布林带下轨19.08元，若下轨附近获得承接，存在技术性反弹可能；若有效跌破19.00元附近，则需关注18.60元一线近期低点支撑。近期成交额和换手率处于自身常态区间，主力资金近3个交易日连续净流入，但股价同期仍有收跌，暂不足以确认调整结束或趋势反转。52周高低点因复权及数据口径不同存在差异，前期年度压力可参考25.45~25.65元，年度极端支撑可参考14.84~15.12元。</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19.60~19.90元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对应MA5约19.62元、MA10约19.70元、MA20约19.81元及近期成交密集区。若不能重新站稳，反弹更可能属于弱势修复；若放量站上，才有机会进一步测试20.30~20.55元。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19.00~19.20元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对应布林带下轨约19.08元及最新收盘价19.16元。若在19元附近缩量企稳，可能出现技术性反弹；若有效跌破，则意味着下轨附近支撑失效。</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18.60~18.80元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对应9月11日盘中低点18.60元及近期18元中后段交易支撑。若放量跌破，下一观察区域为18.00~18.30元，短线调整幅度可能扩大。</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中期压力参考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20.30~20.55元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对应9月7日至9月8日价格高点20.32~20.71元区间的部分位置及布林带上轨20.54元；需先收复19.60~19.90元且成交量改善后再观察。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指标、价格位置和资金流向的主观启发式判断，不是统计学概率）：价格运行区间参考19.00~19.90元。触发条件为守住19.00~19.20元支撑，但反弹无法有效突破19.60~19.90元压力区，成交额维持约2.5亿~4.5亿元近期常态范围。RSI6接近低位且股价靠近布林下轨，支持反弹或横盘需求；但MACD和均线结构仍偏弱。</w:t>
      </w:r>
    </w:p>
    <w:p>
      <w:pPr>
        <w:pStyle w:val="ListParagraph"/>
        <w:numPr>
          <w:ilvl w:val="0"/>
          <w:numId w:val="2"/>
        </w:numPr>
        <w:spacing w:after="80" w:line="280"/>
      </w:pPr>
      <w:r>
        <w:rPr>
          <w:sz w:val="22"/>
          <w:szCs w:val="22"/>
        </w:rPr>
        <w:t xml:space="preserve">偏弱下行（权重中等，约三成左右；为基于当前技术指标、价格位置和资金流向的主观启发式判断，不是统计学概率）：价格可能向18.60~18.80元区域回探。触发条件为连续收盘跌破19.00元附近，且单日成交额明显放大至4.5亿~5亿元以上，同时电网设备或电力设备板块同步走弱。若进一步放量跌破18.60元，需关注18.00~18.30元区域。</w:t>
      </w:r>
    </w:p>
    <w:p>
      <w:pPr>
        <w:pStyle w:val="ListParagraph"/>
        <w:numPr>
          <w:ilvl w:val="0"/>
          <w:numId w:val="2"/>
        </w:numPr>
        <w:spacing w:after="80" w:line="280"/>
      </w:pPr>
      <w:r>
        <w:rPr>
          <w:sz w:val="22"/>
          <w:szCs w:val="22"/>
        </w:rPr>
        <w:t xml:space="preserve">反弹走强（相对权重偏低，约一成至两成；为基于当前技术指标、价格位置和资金流向的主观启发式判断，不是统计学概率）：价格参考向20.30~20.55元区域修复。触发条件为收盘重新站上19.90元，成交额连续放大至5亿元左右或更高，主力资金净流入持续，且电网设备、特高压等相关板块同步走强。重新站回MA20和布林中轨附近可视为技术结构改善的观察信号；单日冲高但未站稳19.90元，不构成趋势反转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约1.53%，最近5个交易日换手率约1.04%~1.80%，成交额约2.72亿~4.95亿元，整体属于中等偏低换手、流动性尚可但并非高频活跃交易型股票。最近10个交易日主力资金合计净流入约930万元，最近3个交易日连续净流入，但9月10日和9月11日均出现主力资金净流入而股价收跌。股东结构方面，截至2026年6月30日，前十大流通股东合计持股约7.71亿股，占流通股约56.83%；机构合计持股约7.89亿股，占流通股约58.17%，其中基金约5.17%、保险公司约3.74%，其余主要归入“其他机构”。公开数据未将“其他机构”进一步等同于公募基金、社保或QFII，因此不能据此确认主流机构具体身份。上述股东数据距2026年9月11日约两个半月，属于滞后持仓快照，期间可能发生调仓，不能代表实时筹码结构。较高的前十大流通股东集中度与约1%~2%的日换手率意味着筹码相对集中、短期集中成交仍可能对价格形成明显冲击；但现有数据不足以进一步判断即时订单簿深度或买卖价差。可检查的成交量确认信号为：若后续单日成交额连续放大至约5亿元以上，且股价同步收盘站上19.90元，可视为短线资金参与度明显提升的观察信号；若成交额放大但股价仍收于19元下方，则更可能反映抛压释放，而非有效资金介入。</w:t>
      </w:r>
    </w:p>
    <w:p>
      <w:pPr>
        <w:spacing w:after="160" w:line="300"/>
      </w:pPr>
      <w:r>
        <w:rPr>
          <w:sz w:val="22"/>
          <w:szCs w:val="22"/>
        </w:rPr>
        <w:t xml:space="preserve">成交量确认信号：若后续单日成交额连续放大至约5亿元以上，并且股价同步收盘站上19.90元，可作为短线资金参与度明显提升的观察信号；若放量但仍收于19元下方，则需警惕其更可能对应抛压释放。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观察19.00~19.20元区域能否有效承接；若跌破，进一步观察18.60~18.80元。以上为观察思路，非操作指令。</w:t>
      </w:r>
    </w:p>
    <w:p>
      <w:pPr>
        <w:pStyle w:val="ListParagraph"/>
        <w:numPr>
          <w:ilvl w:val="0"/>
          <w:numId w:val="2"/>
        </w:numPr>
        <w:spacing w:after="80" w:line="280"/>
      </w:pPr>
      <w:r>
        <w:rPr>
          <w:sz w:val="22"/>
          <w:szCs w:val="22"/>
        </w:rPr>
        <w:t xml:space="preserve">观察19.60~19.90元均线密集压力区能否被收复，以及是否出现成交额同步放大。以上为观察思路，非操作指令。</w:t>
      </w:r>
    </w:p>
    <w:p>
      <w:pPr>
        <w:pStyle w:val="ListParagraph"/>
        <w:numPr>
          <w:ilvl w:val="0"/>
          <w:numId w:val="2"/>
        </w:numPr>
        <w:spacing w:after="80" w:line="280"/>
      </w:pPr>
      <w:r>
        <w:rPr>
          <w:sz w:val="22"/>
          <w:szCs w:val="22"/>
        </w:rPr>
        <w:t xml:space="preserve">观察MACD柱能否由负值收窄、RSI6能否从34附近回到40以上。以上为观察思路，非操作指令。</w:t>
      </w:r>
    </w:p>
    <w:p>
      <w:pPr>
        <w:pStyle w:val="ListParagraph"/>
        <w:numPr>
          <w:ilvl w:val="0"/>
          <w:numId w:val="2"/>
        </w:numPr>
        <w:spacing w:after="80" w:line="280"/>
      </w:pPr>
      <w:r>
        <w:rPr>
          <w:sz w:val="22"/>
          <w:szCs w:val="22"/>
        </w:rPr>
        <w:t xml:space="preserve">观察成交额能否连续放大至约5亿元以上，并与股价站上19.90元形成同步确认。以上为观察思路，非操作指令。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高压、超高压、特高压开关设备属于电网设备产业链中技术、试验、可靠性、运行经验和供应商认证壁垒较高的环节。产品主要面向国家电网、南方电网、发电集团及其他电力客户，采购以招标和集中采购为主。公司核心产品覆盖交流10kV至1100kV、直流10kV至1120kV；2025年研发投入约6.05亿元，占营业收入4.84%，研发人员822人，占员工总数16.96%。</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电压等级越高，对技术、型式试验、可靠性、运行经验和客户业绩要求越高；进入电网供应商体系需要经过产品认证、业绩考核和供应商审核。</w:t>
      </w:r>
    </w:p>
    <w:p>
      <w:pPr>
        <w:pStyle w:val="ListParagraph"/>
        <w:numPr>
          <w:ilvl w:val="0"/>
          <w:numId w:val="2"/>
        </w:numPr>
        <w:spacing w:after="80" w:line="280"/>
      </w:pPr>
      <w:r>
        <w:rPr>
          <w:sz w:val="22"/>
          <w:szCs w:val="22"/>
        </w:rPr>
        <w:t xml:space="preserve">特高压市场参与者数量较少，竞争格局相对集中；110kV—220kV及配网市场参与者更多，价格竞争和交付效率的重要性上升。</w:t>
      </w:r>
    </w:p>
    <w:p>
      <w:pPr>
        <w:pStyle w:val="ListParagraph"/>
        <w:numPr>
          <w:ilvl w:val="0"/>
          <w:numId w:val="2"/>
        </w:numPr>
        <w:spacing w:after="80" w:line="280"/>
      </w:pPr>
      <w:r>
        <w:rPr>
          <w:sz w:val="22"/>
          <w:szCs w:val="22"/>
        </w:rPr>
        <w:t xml:space="preserve">GIS、断路器、隔离开关等设备项目周期较长，涉及设计、制造、安装和验收等多个环节。</w:t>
      </w:r>
    </w:p>
    <w:p>
      <w:pPr>
        <w:pStyle w:val="ListParagraph"/>
        <w:numPr>
          <w:ilvl w:val="0"/>
          <w:numId w:val="2"/>
        </w:numPr>
        <w:spacing w:after="80" w:line="280"/>
      </w:pPr>
      <w:r>
        <w:rPr>
          <w:sz w:val="22"/>
          <w:szCs w:val="22"/>
        </w:rPr>
        <w:t xml:space="preserve">中国电网建设围绕特高压输电、配电网升级、能源基地外送、新能源并网和新型电力系统展开。2024年年报披露，截至2024年国家电网已累计建成“22交16直”共38项特高压工程。</w:t>
      </w:r>
    </w:p>
    <w:p>
      <w:pPr>
        <w:pStyle w:val="ListParagraph"/>
        <w:numPr>
          <w:ilvl w:val="0"/>
          <w:numId w:val="2"/>
        </w:numPr>
        <w:spacing w:after="80" w:line="280"/>
      </w:pPr>
      <w:r>
        <w:rPr>
          <w:sz w:val="22"/>
          <w:szCs w:val="22"/>
        </w:rPr>
        <w:t xml:space="preserve">海外市场具备增量机会，但面临当地认证、品牌、本地服务网络、项目融资、政治、汇率和回款等风险。</w:t>
      </w:r>
    </w:p>
    <w:p>
      <w:pPr>
        <w:pStyle w:val="ListParagraph"/>
        <w:numPr>
          <w:ilvl w:val="0"/>
          <w:numId w:val="2"/>
        </w:numPr>
        <w:spacing w:after="80" w:line="280"/>
      </w:pPr>
      <w:r>
        <w:rPr>
          <w:sz w:val="22"/>
          <w:szCs w:val="22"/>
        </w:rPr>
        <w:t xml:space="preserve">公司2025年高压产品生产量9,117间隔、台、组，配网产品生产量29,135间隔、台、组；由于产品规格、容量和价值量差异较大，不能据此折算统一年产能，具体GIS、断路器和隔离开关设计产能缺失。</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中国西电（601179）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大型高压、超高压、特高压交直流输变电设备企业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产品链条更宽，覆盖高压开关、变压器、换流阀、电抗器、电力电容器、互感器、套管、绝缘子和避雷器等；与平高电气在高压开关、特高压输变电设备及国家电网招标中存在竞争。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许继电气（000400）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综合性电力装备和电力自动化企业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在直流输电、继电保护、自动化和智能电网领域优势较强，同时覆盖部分变电和开关设备；与平高电气在特高压直流、智能变电站、配网设备及电网项目中存在竞争。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思源电气（002028）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民营综合输配电设备企业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覆盖GIS/GIL、断路器、隔离开关、变压器、保护及自动化、电力电子、储能及EPC服务等；在中高压、配网和海外市场市场化程度较高，是平高电气的重要竞争者。</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山东电工电气集团（未上市）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中国电气装备集团旗下综合输变电设备企业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主要涉及高压开关、变压器、输变电设备及工程服务；与平高电气在特高压、变电站设备和电网工程领域存在同台竞争，但公开财务和市场份额数据不如上市公司完整。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ABB、日立能源、西门子能源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全球高压、超高压输配电设备供应商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在中国特高压主网市场国内厂商已占据主导，外资企业更多参与部分高端、特殊技术或海外项目；其在海外品牌、认证、本地服务和项目融资配套方面仍具优势。</w:t>
            </w:r>
          </w:p>
        </w:tc>
      </w:tr>
    </w:tbl>
    <w:p>
      <w:pPr>
        <w:spacing w:before="200"/>
      </w:pPr>
    </w:p>
    <w:p>
      <w:pPr>
        <w:spacing w:after="160" w:line="300"/>
      </w:pPr>
      <w:r>
        <w:rPr>
          <w:sz w:val="22"/>
          <w:szCs w:val="22"/>
        </w:rPr>
        <w:t xml:space="preserve">平高电气的核心竞争力集中于特高压交直流开关设备，依托中国电气装备集团体系、国家电网客户准入、1100kV等级设计制造和试验能力形成专业化壁垒。中国西电业务链条更宽，许继电气在直流输电及自动化领域更强，思源电气在中高压、配网和海外市场的市场化竞争力较突出，山东电工电气与其存在集团内同台竞争。纪要未提供经过统一第三方口径验证的市场份额、中标份额或排名数据，以上比较主要基于产品范围、业务结构和客户市场的定性对比。</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国家电网客户及集中采购依赖风险：2025年前五大客户销售额占年度销售总额79.41%，国家电网及其所属公司占64.32%；若电网投资、招标、交付或验收节奏变化，可能影响公司的订单获取、收入确认和回款。</w:t>
      </w:r>
    </w:p>
    <w:p>
      <w:pPr>
        <w:pStyle w:val="ListParagraph"/>
        <w:numPr>
          <w:ilvl w:val="0"/>
          <w:numId w:val="2"/>
        </w:numPr>
        <w:spacing w:after="80" w:line="280"/>
      </w:pPr>
      <w:r>
        <w:rPr>
          <w:sz w:val="22"/>
          <w:szCs w:val="22"/>
        </w:rPr>
        <w:t xml:space="preserve">中标项目尚未形成确定收入风险：2026年9月披露的国家电网项目中标金额合计约9.36亿元，但截至公告披露日尚未与相关机构签署正式商务合同，合同条款、交货时间及对当期业绩的影响仍存在不确定性，不能直接等同于已确认收入或利润。</w:t>
      </w:r>
    </w:p>
    <w:p>
      <w:pPr>
        <w:pStyle w:val="ListParagraph"/>
        <w:numPr>
          <w:ilvl w:val="0"/>
          <w:numId w:val="2"/>
        </w:numPr>
        <w:spacing w:after="80" w:line="280"/>
      </w:pPr>
      <w:r>
        <w:rPr>
          <w:sz w:val="22"/>
          <w:szCs w:val="22"/>
        </w:rPr>
        <w:t xml:space="preserve">经营现金流和回款风险：截至2025年末应收账款、应收款项融资及合同资产合计约73.1亿元，约占营业收入58.4%；2025年经营活动现金流净额同比下降73.05%，2026年上半年进一步为-6.89亿元，若项目验收或客户结算延后，可能加大营运资金压力。</w:t>
      </w:r>
    </w:p>
    <w:p>
      <w:pPr>
        <w:pStyle w:val="ListParagraph"/>
        <w:numPr>
          <w:ilvl w:val="0"/>
          <w:numId w:val="2"/>
        </w:numPr>
        <w:spacing w:after="80" w:line="280"/>
      </w:pPr>
      <w:r>
        <w:rPr>
          <w:sz w:val="22"/>
          <w:szCs w:val="22"/>
        </w:rPr>
        <w:t xml:space="preserve">存货及项目履约风险：公司2026年半年度说明会表示存货增加主要源于在制品及库存商品增加、用于保障项目按期履约；若交付、验收或收入确认继续延后，存货占用和减值压力可能上升。</w:t>
      </w:r>
    </w:p>
    <w:p>
      <w:pPr>
        <w:pStyle w:val="ListParagraph"/>
        <w:numPr>
          <w:ilvl w:val="0"/>
          <w:numId w:val="2"/>
        </w:numPr>
        <w:spacing w:after="80" w:line="280"/>
      </w:pPr>
      <w:r>
        <w:rPr>
          <w:sz w:val="22"/>
          <w:szCs w:val="22"/>
        </w:rPr>
        <w:t xml:space="preserve">毛利率持续性风险：2026年上半年综合毛利率约29.75%，明显高于上年同期约24.72%，但高毛利率能否持续仍取决于高压特高压产品交付结构、成本管控和项目结算；若收入结构变化或低毛利业务占比上升，利润增速可能放缓。</w:t>
      </w:r>
    </w:p>
    <w:p>
      <w:pPr>
        <w:pStyle w:val="ListParagraph"/>
        <w:numPr>
          <w:ilvl w:val="0"/>
          <w:numId w:val="2"/>
        </w:numPr>
        <w:spacing w:after="80" w:line="280"/>
      </w:pPr>
      <w:r>
        <w:rPr>
          <w:sz w:val="22"/>
          <w:szCs w:val="22"/>
        </w:rPr>
        <w:t xml:space="preserve">配网及国际业务盈利风险：2025年配网板块毛利率为15.53%，低于高压和运维板块；国际板块收入2.58亿元、毛利率为-24.39%，仍受国际政治经济环境、项目延期、人力及施工管理成本等因素影响，可能继续拖累整体盈利。</w:t>
      </w:r>
    </w:p>
    <w:p>
      <w:pPr>
        <w:pStyle w:val="ListParagraph"/>
        <w:numPr>
          <w:ilvl w:val="0"/>
          <w:numId w:val="2"/>
        </w:numPr>
        <w:spacing w:after="80" w:line="280"/>
      </w:pPr>
      <w:r>
        <w:rPr>
          <w:sz w:val="22"/>
          <w:szCs w:val="22"/>
        </w:rPr>
        <w:t xml:space="preserve">原材料及专用零部件成本风险：直接材料约占2025年主营业务成本81.12%，公司对铜、铝、钢材及高端电气零部件价格较为敏感；虽然普通供应商较为分散，但部分高压设备专用零部件、特种绝缘材料、液压机构和高端电气元件可能存在认证及切换周期，成本上涨未必能通过集中招标及时传导。</w:t>
      </w:r>
    </w:p>
    <w:p>
      <w:pPr>
        <w:pStyle w:val="ListParagraph"/>
        <w:numPr>
          <w:ilvl w:val="0"/>
          <w:numId w:val="2"/>
        </w:numPr>
        <w:spacing w:after="80" w:line="280"/>
      </w:pPr>
      <w:r>
        <w:rPr>
          <w:sz w:val="22"/>
          <w:szCs w:val="22"/>
        </w:rPr>
        <w:t xml:space="preserve">资本开支与财务压力风险：近期消息提及约14亿元绿色低碳智慧工厂投资，若建设进度、投资回报或资金安排不及预期，可能增加资本开支和现金流压力；同时2026年上半年经营现金流为负，需关注投资支出与经营回款之间的匹配情况。</w:t>
      </w:r>
    </w:p>
    <w:p>
      <w:pPr>
        <w:pStyle w:val="ListParagraph"/>
        <w:numPr>
          <w:ilvl w:val="0"/>
          <w:numId w:val="2"/>
        </w:numPr>
        <w:spacing w:after="80" w:line="280"/>
      </w:pPr>
      <w:r>
        <w:rPr>
          <w:sz w:val="22"/>
          <w:szCs w:val="22"/>
        </w:rPr>
        <w:t xml:space="preserve">估值与技术表现风险：截至2026年9月11日股价19.16元，对应TTM市盈率约20.44倍；当前股价低于MA5、MA10和MA20，MACD位于零轴下方。若机构盈利预测未能兑现，或特高压项目交付、收入确认低于预期，估值消化和股价波动压力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平高电气的中长期增长逻辑主要来自特高压交流和直流输电、主网变电站及配电网建设需求，公司在1100kV等级开关设备、试验能力和电网客户准入方面具备较强壁垒。2026年上半年利润增速明显高于收入增速，体现出产品结构和盈利质量阶段性改善；国家电网中标及在手项目也为后续收入提供一定支撑。若高价值特高压产品交付占比继续提升，同时运维检修业务扩大、配网毛利率修复、国际项目风险得到控制，公司盈利能力仍存在改善空间。</w:t>
      </w:r>
    </w:p>
    <w:p>
      <w:pPr>
        <w:spacing w:after="160" w:line="300"/>
      </w:pPr>
      <w:r>
        <w:rPr>
          <w:sz w:val="22"/>
          <w:szCs w:val="22"/>
        </w:rPr>
        <w:t xml:space="preserve">但公司增长兑现仍受电网集中招标、项目建设和验收节奏影响，收入确认可能存在阶段性波动。客户高度集中使公司对国家电网等主要客户的投资节奏、招标价格及付款安排较为敏感；直接材料占主营业务成本比例约81.12%，而集中采购模式限制了成本上涨向下游完全传导的能力。国际业务目前仍处于亏损状态，配网业务毛利率也低于高压和运维板块，业务结构改善并非完全确定。</w:t>
      </w:r>
    </w:p>
    <w:p>
      <w:pPr>
        <w:spacing w:after="160" w:line="300"/>
      </w:pPr>
      <w:r>
        <w:rPr>
          <w:sz w:val="22"/>
          <w:szCs w:val="22"/>
        </w:rPr>
        <w:t xml:space="preserve">综合来看，公司当前处于盈利能力改善与现金流承压并存的阶段，后续关键在于将订单转化为稳定收入、利润和经营现金流，并验证2026年上半年较高毛利率的可持续性。股价技术形态仍偏弱，估值对未来业绩增长存在一定依赖；因此应重点关注后续项目合同签署、交付验收、应收及存货变化、经营现金流以及三季报业绩表现，而不宜仅依据中标金额或短期利润增速判断经营趋势。</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平高电气(600312)_公司公告_平高电气：2025年年度报告新浪财经_新浪网 — https://money.finance.sina.com.cn/corp/view/vCB_AllBulletinDetail.php?id=12078172&amp;stockid=600312</w:t>
      </w:r>
    </w:p>
    <w:p>
      <w:pPr>
        <w:spacing w:after="200"/>
      </w:pPr>
      <w:r>
        <w:rPr>
          <w:i/>
          <w:iCs/>
          <w:color w:val="595959"/>
          <w:sz w:val="18"/>
          <w:szCs w:val="18"/>
        </w:rPr>
        <w:t xml:space="preserve">平高电气(600312)_公司公告_平高电气：2023年年度报告摘要新浪财经_新浪网 — https://money.finance.sina.com.cn/corp/view/vCB_AllBulletinDetail.php?id=9956970&amp;stockid=600312&amp;utm_source=openai</w:t>
      </w:r>
    </w:p>
    <w:p>
      <w:pPr>
        <w:spacing w:after="200"/>
      </w:pPr>
      <w:r>
        <w:rPr>
          <w:i/>
          <w:iCs/>
          <w:color w:val="595959"/>
          <w:sz w:val="18"/>
          <w:szCs w:val="18"/>
        </w:rPr>
        <w:t xml:space="preserve">平高电气(600312)_公司公告_平高电气：2022年年度报告新浪财经_新浪网 — https://money.finance.sina.com.cn/corp/view/vCB_AllBulletinDetail.php?id=9029965&amp;stockid=600312&amp;utm_source=openai</w:t>
      </w:r>
    </w:p>
    <w:p>
      <w:pPr>
        <w:spacing w:after="200"/>
      </w:pPr>
      <w:r>
        <w:rPr>
          <w:i/>
          <w:iCs/>
          <w:color w:val="595959"/>
          <w:sz w:val="18"/>
          <w:szCs w:val="18"/>
        </w:rPr>
        <w:t xml:space="preserve">公司公告_平高电气：2023年年度报告新浪财经_新浪网 — https://vip.stock.finance.sina.com.cn/corp/view/vCB_AllBulletinDetail.php?id=9956969&amp;utm_source=openai</w:t>
      </w:r>
    </w:p>
    <w:p>
      <w:pPr>
        <w:spacing w:after="200"/>
      </w:pPr>
      <w:r>
        <w:rPr>
          <w:i/>
          <w:iCs/>
          <w:color w:val="595959"/>
          <w:sz w:val="18"/>
          <w:szCs w:val="18"/>
        </w:rPr>
        <w:t xml:space="preserve">平高电气(600312)_公司公告_平高电气：2024年年度报告新浪财经_新浪网 — https://money.finance.sina.com.cn/corp/view/vCB_AllBulletinDetail.php?id=10861359&amp;stockid=600312&amp;utm_source=openai</w:t>
      </w:r>
    </w:p>
    <w:p>
      <w:pPr>
        <w:spacing w:after="200"/>
      </w:pPr>
      <w:r>
        <w:rPr>
          <w:i/>
          <w:iCs/>
          <w:color w:val="595959"/>
          <w:sz w:val="18"/>
          <w:szCs w:val="18"/>
        </w:rPr>
        <w:t xml:space="preserve">中国西电电气股份有限公司2025年半年度报告 — https://static.cninfo.com.cn/finalpage/2025-08-21/1224525041.PDF?utm_source=openai</w:t>
      </w:r>
    </w:p>
    <w:p>
      <w:pPr>
        <w:spacing w:after="200"/>
      </w:pPr>
      <w:r>
        <w:rPr>
          <w:i/>
          <w:iCs/>
          <w:color w:val="595959"/>
          <w:sz w:val="18"/>
          <w:szCs w:val="18"/>
        </w:rPr>
        <w:t xml:space="preserve">许继电气(000400)_公司公告_许继电气：2025年年度报告新浪财经_新浪网 — https://money.finance.sina.com.cn/corp/view/vCB_AllBulletinDetail.php?id=12081234&amp;stockid=000400&amp;utm_source=openai</w:t>
      </w:r>
    </w:p>
    <w:p>
      <w:pPr>
        <w:spacing w:after="200"/>
      </w:pPr>
      <w:r>
        <w:rPr>
          <w:i/>
          <w:iCs/>
          <w:color w:val="595959"/>
          <w:sz w:val="18"/>
          <w:szCs w:val="18"/>
        </w:rPr>
        <w:t xml:space="preserve">思源电气(002028)_公司公告_思源电气：2025年年度报告新浪财经_新浪网 — https://money.finance.sina.com.cn/corp/view/vCB_AllBulletinDetail.php?id=12112020&amp;stockid=002028&amp;utm_source=openai</w:t>
      </w:r>
    </w:p>
    <w:p>
      <w:pPr>
        <w:spacing w:after="200"/>
      </w:pPr>
      <w:r>
        <w:rPr>
          <w:i/>
          <w:iCs/>
          <w:color w:val="595959"/>
          <w:sz w:val="18"/>
          <w:szCs w:val="18"/>
        </w:rPr>
        <w:t xml:space="preserve">公司简介 - 河南平高电气股份有限公司 — https://pinggao.com/about/company.html?utm_source=openai</w:t>
      </w:r>
    </w:p>
    <w:p>
      <w:pPr>
        <w:spacing w:after="200"/>
      </w:pPr>
      <w:r>
        <w:rPr>
          <w:i/>
          <w:iCs/>
          <w:color w:val="595959"/>
          <w:sz w:val="18"/>
          <w:szCs w:val="18"/>
        </w:rPr>
        <w:t xml:space="preserve">平高电气(600312)_公司公告_平高电气：中标公告新浪财经_新浪网 — https://money.finance.sina.com.cn/corp/view/vCB_AllBulletinDetail.php?id=12589171&amp;stockid=600312</w:t>
      </w:r>
    </w:p>
    <w:p>
      <w:pPr>
        <w:spacing w:after="200"/>
      </w:pPr>
      <w:r>
        <w:rPr>
          <w:i/>
          <w:iCs/>
          <w:color w:val="595959"/>
          <w:sz w:val="18"/>
          <w:szCs w:val="18"/>
        </w:rPr>
        <w:t xml:space="preserve">平高电气(600312)_公司公告_平高电气：2026年半年度报告新浪财经_新浪网 — https://money.finance.sina.com.cn/corp/view/vCB_AllBulletinDetail.php?id=12506211&amp;stockid=600312&amp;utm_source=openai</w:t>
      </w:r>
    </w:p>
    <w:p>
      <w:pPr>
        <w:spacing w:after="200"/>
      </w:pPr>
      <w:r>
        <w:rPr>
          <w:i/>
          <w:iCs/>
          <w:color w:val="595959"/>
          <w:sz w:val="18"/>
          <w:szCs w:val="18"/>
        </w:rPr>
        <w:t xml:space="preserve">平高电气(600312)_公司公告_平高电气：2026年半年度业绩说明会投资者关系活动记录表新浪财经_新浪网 — https://money.finance.sina.com.cn/corp/view/vCB_AllBulletinDetail.php?id=12558794&amp;stockid=600312</w:t>
      </w:r>
    </w:p>
    <w:p>
      <w:pPr>
        <w:spacing w:after="200"/>
      </w:pPr>
      <w:r>
        <w:rPr>
          <w:i/>
          <w:iCs/>
          <w:color w:val="595959"/>
          <w:sz w:val="18"/>
          <w:szCs w:val="18"/>
        </w:rPr>
        <w:t xml:space="preserve">平高电气(600312)_公司公告_平高电气：2026年半年度利润分配方案的公告新浪财经_新浪网 — https://money.finance.sina.com.cn/corp/view/vCB_AllBulletinDetail.php?id=12506212&amp;stockid=600312</w:t>
      </w:r>
    </w:p>
    <w:p>
      <w:pPr>
        <w:spacing w:after="200"/>
      </w:pPr>
      <w:r>
        <w:rPr>
          <w:i/>
          <w:iCs/>
          <w:color w:val="595959"/>
          <w:sz w:val="18"/>
          <w:szCs w:val="18"/>
        </w:rPr>
        <w:t xml:space="preserve">股票代码：600312  股票简称：平高电气  公告编号：2026—024 — https://static.cninfo.com.cn/finalpage/2026-07-13/1225420514.PDF?utm_source=openai</w:t>
      </w:r>
    </w:p>
    <w:p>
      <w:pPr>
        <w:spacing w:after="200"/>
      </w:pPr>
      <w:r>
        <w:rPr>
          <w:i/>
          <w:iCs/>
          <w:color w:val="595959"/>
          <w:sz w:val="18"/>
          <w:szCs w:val="18"/>
        </w:rPr>
        <w:t xml:space="preserve">平高电气(600312) 股东研究_F10_同花顺金融服务网 — https://basic.10jqka.com.cn/600312/holder.html?utm_source=openai</w:t>
      </w:r>
    </w:p>
    <w:p>
      <w:pPr>
        <w:spacing w:after="200"/>
      </w:pPr>
      <w:r>
        <w:rPr>
          <w:i/>
          <w:iCs/>
          <w:color w:val="595959"/>
          <w:sz w:val="18"/>
          <w:szCs w:val="18"/>
        </w:rPr>
        <w:t xml:space="preserve">平高电气(600312)_公司公告_平高电气：关于全资子公司完成清算注销参股公司暨关联交易进展的公告新浪财经_新浪网 — https://money.finance.sina.com.cn/corp/view/vCB_AllBulletinDetail.php?id=12479073&amp;stockid=600312</w:t>
      </w:r>
    </w:p>
    <w:p>
      <w:pPr>
        <w:spacing w:after="200"/>
      </w:pPr>
      <w:r>
        <w:rPr>
          <w:i/>
          <w:iCs/>
          <w:color w:val="595959"/>
          <w:sz w:val="18"/>
          <w:szCs w:val="18"/>
        </w:rPr>
        <w:t xml:space="preserve">公司动态列表 - 河南平高电气股份有限公司 — https://pinggao.com/content/details_793_257255.html?utm_source=openai</w:t>
      </w:r>
    </w:p>
    <w:p>
      <w:pPr>
        <w:spacing w:after="200"/>
      </w:pPr>
      <w:r>
        <w:rPr>
          <w:i/>
          <w:iCs/>
          <w:color w:val="595959"/>
          <w:sz w:val="18"/>
          <w:szCs w:val="18"/>
        </w:rPr>
        <w:t xml:space="preserve">平高电气(600312)公司公告_新浪财经_新浪网 — https://money.finance.sina.com.cn/corp/go.php/vCB_AllBulletin/stockid/600312.phtml</w:t>
      </w:r>
    </w:p>
    <w:p>
      <w:pPr>
        <w:spacing w:after="200"/>
      </w:pPr>
      <w:r>
        <w:rPr>
          <w:i/>
          <w:iCs/>
          <w:color w:val="595959"/>
          <w:sz w:val="18"/>
          <w:szCs w:val="18"/>
        </w:rPr>
        <w:t xml:space="preserve">平高电气(600312.SH) 股票行情_历史数据_主力资金 - 大波浪数据 — https://www.yyqyx.com/s/600312.SH</w:t>
      </w:r>
    </w:p>
    <w:p>
      <w:pPr>
        <w:spacing w:after="200"/>
      </w:pPr>
      <w:r>
        <w:rPr>
          <w:i/>
          <w:iCs/>
          <w:color w:val="595959"/>
          <w:sz w:val="18"/>
          <w:szCs w:val="18"/>
        </w:rPr>
        <w:t xml:space="preserve">平高电气(600312)股票历史数据:历史行情,价格,走势图表_英为财情Investing.com — https://cn.investing.com/equities/pinggao-elec-historical-data?utm_source=openai</w:t>
      </w:r>
    </w:p>
    <w:p>
      <w:pPr>
        <w:spacing w:after="200"/>
      </w:pPr>
      <w:r>
        <w:rPr>
          <w:i/>
          <w:iCs/>
          <w:color w:val="595959"/>
          <w:sz w:val="18"/>
          <w:szCs w:val="18"/>
        </w:rPr>
        <w:t xml:space="preserve">平高电气(600312)股票行情走势技术分析_未来预测_买卖操作建议_英为财情Investing.com — https://cn.investing.com/equities/pinggao-elec-technical</w:t>
      </w:r>
    </w:p>
    <w:p>
      <w:pPr>
        <w:spacing w:after="200"/>
      </w:pPr>
      <w:r>
        <w:rPr>
          <w:i/>
          <w:iCs/>
          <w:color w:val="595959"/>
          <w:sz w:val="18"/>
          <w:szCs w:val="18"/>
        </w:rPr>
        <w:t xml:space="preserve">平高电气(600312)_资金流向_证券之星 — https://stock.quote.stockstar.com/capital_600312.shtml?utm_source=openai</w:t>
      </w:r>
    </w:p>
    <w:p>
      <w:pPr>
        <w:spacing w:after="200"/>
      </w:pPr>
      <w:r>
        <w:rPr>
          <w:i/>
          <w:iCs/>
          <w:color w:val="595959"/>
          <w:sz w:val="18"/>
          <w:szCs w:val="18"/>
        </w:rPr>
        <w:t xml:space="preserve">平高电气(600312) 最新动态_F10_同花顺金融服务网 — https://basic.10jqka.com.cn/600312/</w:t>
      </w:r>
    </w:p>
    <w:p>
      <w:pPr>
        <w:spacing w:after="200"/>
      </w:pPr>
      <w:r>
        <w:rPr>
          <w:i/>
          <w:iCs/>
          <w:color w:val="595959"/>
          <w:sz w:val="18"/>
          <w:szCs w:val="18"/>
        </w:rPr>
        <w:t xml:space="preserve">本报告由AI基于公开渠道信息自动检索、整理并生成，信息截至 截至2026年9月11日收盘；2026年9月12日至13日为周末，未产生新的A股收盘行情。技术指标主要采用大波浪数据日线、不复权口径，部分均线和技术评级为Investing.com相近时点交叉参考。，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2026-09-13T13:49:25.967Z</dcterms:created>
  <dcterms:modified xsi:type="dcterms:W3CDTF">2026-09-13T13:49:25.967Z</dcterms:modified>
</cp:coreProperties>
</file>

<file path=docProps/custom.xml><?xml version="1.0" encoding="utf-8"?>
<Properties xmlns="http://schemas.openxmlformats.org/officeDocument/2006/custom-properties" xmlns:vt="http://schemas.openxmlformats.org/officeDocument/2006/docPropsVTypes"/>
</file>