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盛和资源控股股份有限公司 (600392)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行业：稀土及锆钛产品</w:t>
      </w:r>
    </w:p>
    <w:p>
      <w:pPr>
        <w:jc w:val="center"/>
      </w:pPr>
      <w:r>
        <w:rPr>
          <w:color w:val="595959"/>
          <w:sz w:val="22"/>
          <w:szCs w:val="22"/>
        </w:rPr>
        <w:t xml:space="preserve">报告日期：2026年10月2日</w:t>
      </w:r>
    </w:p>
    <w:p>
      <w:pPr>
        <w:jc w:val="center"/>
      </w:pPr>
      <w:r>
        <w:rPr>
          <w:color w:val="595959"/>
          <w:sz w:val="20"/>
          <w:szCs w:val="20"/>
        </w:rPr>
        <w:t xml:space="preserve">行情截至2026-09-30收盘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核心结论：稀土涨价推动利润加速，但盈利仍受周期与现金流约束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20.17元（-0.49%）</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约353.55亿元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26.21倍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19.31～34.30元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3.63亿元／1.02%</w:t>
            </w:r>
          </w:p>
        </w:tc>
      </w:tr>
    </w:tbl>
    <w:p>
      <w:pPr>
        <w:spacing w:before="200"/>
      </w:pPr>
    </w:p>
    <w:p>
      <w:pPr>
        <w:spacing w:after="200"/>
      </w:pPr>
      <w:r>
        <w:rPr>
          <w:i/>
          <w:iCs/>
          <w:color w:val="595959"/>
          <w:sz w:val="18"/>
          <w:szCs w:val="18"/>
        </w:rPr>
        <w:t xml:space="preserve">行情数据截至：2026-09-30收盘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中报利润增速显著快于营收</w:t>
      </w:r>
      <w:r>
        <w:rPr>
          <w:sz w:val="22"/>
          <w:szCs w:val="22"/>
        </w:rPr>
        <w:t xml:space="preserve">：2026年上半年营收87.59亿元、同比增长41.76%，归母净利润8.87亿元、同比增长135.24%，扣非净利润同比增长141.23%。</w:t>
      </w:r>
    </w:p>
    <w:p>
      <w:pPr>
        <w:pStyle w:val="ListParagraph"/>
        <w:numPr>
          <w:ilvl w:val="0"/>
          <w:numId w:val="2"/>
        </w:numPr>
        <w:spacing w:after="80" w:line="280"/>
      </w:pPr>
      <w:r>
        <w:rPr>
          <w:b/>
          <w:bCs/>
          <w:sz w:val="22"/>
          <w:szCs w:val="22"/>
        </w:rPr>
        <w:t xml:space="preserve">稀土价格是当前主要增长引擎</w:t>
      </w:r>
      <w:r>
        <w:rPr>
          <w:sz w:val="22"/>
          <w:szCs w:val="22"/>
        </w:rPr>
        <w:t xml:space="preserve">：稀土产品占2025年主营收入94.5%；2025年收入同比增长32.94%，毛利率11.12%、同比提高6.57个百分点，增长仍受产品价格与原料成本传导影响。</w:t>
      </w:r>
    </w:p>
    <w:p>
      <w:pPr>
        <w:pStyle w:val="ListParagraph"/>
        <w:numPr>
          <w:ilvl w:val="0"/>
          <w:numId w:val="2"/>
        </w:numPr>
        <w:spacing w:after="80" w:line="280"/>
      </w:pPr>
      <w:r>
        <w:rPr>
          <w:b/>
          <w:bCs/>
          <w:sz w:val="22"/>
          <w:szCs w:val="22"/>
        </w:rPr>
        <w:t xml:space="preserve">估值偏低但PB接近历史中位</w:t>
      </w:r>
      <w:r>
        <w:rPr>
          <w:sz w:val="22"/>
          <w:szCs w:val="22"/>
        </w:rPr>
        <w:t xml:space="preserve">：9月30日收盘20.17元，PE-TTM 26.21倍、PB-MRQ 2.71倍，分别处于近5.2年25%和47%分位；2026年一致预期净利润增速为86.29%。</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：市场隐含每股收益年均增长约14.2%，低于机构对2026—2028年净利润增速的预期：86.29%、27.00%和24.89%；定价隐含的长期增长要求较温和。</w:t>
      </w:r>
    </w:p>
    <w:p>
      <w:pPr>
        <w:pStyle w:val="ListParagraph"/>
        <w:numPr>
          <w:ilvl w:val="0"/>
          <w:numId w:val="2"/>
        </w:numPr>
        <w:spacing w:after="80" w:line="280"/>
      </w:pPr>
      <w:r>
        <w:rPr>
          <w:b/>
          <w:bCs/>
          <w:sz w:val="22"/>
          <w:szCs w:val="22"/>
        </w:rPr>
        <w:t xml:space="preserve">证据显示</w:t>
      </w:r>
      <w:r>
        <w:rPr>
          <w:sz w:val="22"/>
          <w:szCs w:val="22"/>
        </w:rPr>
        <w:t xml:space="preserve">：上半年净利润增长135.24%，与短期高增长预期方向一致；但增长主要由稀土价格上涨带动，经营现金流净额/净利润为-0.70，库存周转天数升至126.5天，盈利持续性与现金回收仍待验证。</w:t>
      </w:r>
    </w:p>
    <w:p>
      <w:pPr>
        <w:spacing w:after="160" w:line="300"/>
      </w:pPr>
      <w:r>
        <w:rPr>
          <w:b/>
          <w:bCs/>
          <w:color w:val="1F4E79"/>
          <w:sz w:val="22"/>
          <w:szCs w:val="22"/>
        </w:rPr>
        <w:t xml:space="preserve">证据倾向：偏多；置信度：中</w:t>
      </w:r>
    </w:p>
    <w:p>
      <w:pPr>
        <w:spacing w:after="160" w:line="300"/>
      </w:pPr>
      <w:r>
        <w:rPr>
          <w:sz w:val="22"/>
          <w:szCs w:val="22"/>
        </w:rPr>
        <w:t xml:space="preserve">利润增长加速且PE处于历史低分位；但增长依赖稀土价格，现金流和库存周转仍偏弱。</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生产销售及贸易稀土产品，并经营锆钛选矿产品；收入主要来自稀土产品。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稀土产品</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94.5%（2025年主营业务收入）</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11.12%（2025年）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32.94%（2025年同比）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收入与利润表现核心，毛利率同比提高6.57个百分点</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锆钛及其他</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5.5%（2025年主营业务收入）</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17.71%（2025年同比）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收入增长但毛利率同比下降12.09个百分点</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多元原料渠道：长期供应安排、参股及包销布局，尚非已兑现的低成本自有供给</w:t>
      </w:r>
    </w:p>
    <w:p>
      <w:pPr>
        <w:pStyle w:val="ListParagraph"/>
        <w:numPr>
          <w:ilvl w:val="0"/>
          <w:numId w:val="2"/>
        </w:numPr>
        <w:spacing w:after="80" w:line="280"/>
      </w:pPr>
      <w:r>
        <w:rPr>
          <w:sz w:val="22"/>
          <w:szCs w:val="22"/>
        </w:rPr>
        <w:t xml:space="preserve">产业链覆盖：布局稀土选矿、冶炼分离及金属加工，覆盖轻、重稀土</w:t>
      </w:r>
    </w:p>
    <w:p>
      <w:pPr>
        <w:pStyle w:val="ListParagraph"/>
        <w:numPr>
          <w:ilvl w:val="0"/>
          <w:numId w:val="2"/>
        </w:numPr>
        <w:spacing w:after="80" w:line="280"/>
      </w:pPr>
      <w:r>
        <w:rPr>
          <w:sz w:val="22"/>
          <w:szCs w:val="22"/>
        </w:rPr>
        <w:t xml:space="preserve">工艺积累：公司披露选矿、分离和加工技术积累，2024年累计专利410余项</w:t>
      </w:r>
    </w:p>
    <w:p>
      <w:pPr>
        <w:spacing w:after="160" w:line="300"/>
      </w:pPr>
      <w:r>
        <w:rPr>
          <w:sz w:val="22"/>
          <w:szCs w:val="22"/>
        </w:rPr>
        <w:t xml:space="preserve">主要威胁：稀土及锆钛价格下行、原料成本传导不同步会压缩利润；海外项目和新增产能存在执行及整合风险。</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稀土原料包括稀土精矿、南方离子型稀土矿、独居石氯化片及钕铁硼废料；锆钛业务采购境外锆钛毛矿、中矿等重砂矿。</w:t>
      </w:r>
    </w:p>
    <w:p>
      <w:pPr>
        <w:pStyle w:val="ListParagraph"/>
        <w:numPr>
          <w:ilvl w:val="0"/>
          <w:numId w:val="2"/>
        </w:numPr>
        <w:spacing w:after="80" w:line="280"/>
      </w:pPr>
      <w:r>
        <w:rPr>
          <w:sz w:val="22"/>
          <w:szCs w:val="22"/>
        </w:rPr>
        <w:t xml:space="preserve">长期供应、参股及包销拓展来源，但年报未证明公司能显著控制采购价格；2025年工业直接材料101.94亿元，占总成本76.48%。</w:t>
      </w:r>
    </w:p>
    <w:p>
      <w:pPr>
        <w:pStyle w:val="ListParagraph"/>
        <w:numPr>
          <w:ilvl w:val="0"/>
          <w:numId w:val="2"/>
        </w:numPr>
        <w:spacing w:after="80" w:line="280"/>
      </w:pPr>
      <w:r>
        <w:rPr>
          <w:sz w:val="22"/>
          <w:szCs w:val="22"/>
        </w:rPr>
        <w:t xml:space="preserve">销售稀土及锆钛产品，主要为原料或中间品；客户身份未公开，客户议价能力无法量化。</w:t>
      </w:r>
    </w:p>
    <w:p>
      <w:pPr>
        <w:pStyle w:val="ListParagraph"/>
        <w:numPr>
          <w:ilvl w:val="0"/>
          <w:numId w:val="2"/>
        </w:numPr>
        <w:spacing w:after="80" w:line="280"/>
      </w:pPr>
      <w:r>
        <w:rPr>
          <w:sz w:val="22"/>
          <w:szCs w:val="22"/>
        </w:rPr>
        <w:t xml:space="preserve">定价受原料价格、供需及产品市场价格传导影响，2025年行情改善带动产品价格和销量增长，不体现稳定单边定价权。</w:t>
      </w:r>
    </w:p>
    <w:p>
      <w:pPr>
        <w:pStyle w:val="ListParagraph"/>
        <w:numPr>
          <w:ilvl w:val="0"/>
          <w:numId w:val="2"/>
        </w:numPr>
        <w:spacing w:after="80" w:line="280"/>
      </w:pPr>
      <w:r>
        <w:rPr>
          <w:sz w:val="22"/>
          <w:szCs w:val="22"/>
        </w:rPr>
        <w:t xml:space="preserve">2025年前五大客户占销售额36.39%，前五大供应商占采购额31.75%；仅有2025年年报数据，来源单一、未能交叉核实，客户身份未公开。</w:t>
      </w:r>
    </w:p>
    <w:p>
      <w:pPr>
        <w:pStyle w:val="ListParagraph"/>
        <w:numPr>
          <w:ilvl w:val="0"/>
          <w:numId w:val="2"/>
        </w:numPr>
        <w:spacing w:after="80" w:line="280"/>
      </w:pPr>
      <w:r>
        <w:rPr>
          <w:sz w:val="22"/>
          <w:szCs w:val="22"/>
        </w:rPr>
        <w:t xml:space="preserve">2025年末应收账款13.01亿元，约为营业收入8.7%、归母净利润1.55倍；预付款3.50亿元，同比下降42.92%。</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18.72%</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10.14%</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稀土及相关产品毛利较高，当年收入和利润显著增长</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16.60%</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9.51%</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稀土产品均价上涨，但成本增速高于收入，毛利率回落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4.35%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1.86%</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主要产品价格下行，营业成本增速高于收入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5.23%</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1.82%</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稀土及锆钛产品价格下跌，贸易业务规模下降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10.66%</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5.60%</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稀土产品价格及销量增长，带动整体毛利率反弹</w:t>
            </w:r>
          </w:p>
        </w:tc>
      </w:tr>
    </w:tbl>
    <w:p>
      <w:pPr>
        <w:spacing w:before="200"/>
      </w:pPr>
    </w:p>
    <w:p>
      <w:pPr>
        <w:spacing w:after="160" w:line="300"/>
      </w:pPr>
      <w:r>
        <w:rPr>
          <w:sz w:val="22"/>
          <w:szCs w:val="22"/>
        </w:rPr>
        <w:t xml:space="preserve">公司处于稀土产业链中游，兼具资源端布局，盈利仍受产品价格和原料成本驱动；改善关键在原料保障兑现为低成本供给、提升自产及深加工贡献并控制低毛利贸易拖累。</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稀土价格回升可快速改善公司盈利，但2023—2024年利润走弱、2025年反弹，显示盈利仍明显受产品价格周期影响。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中国北方稀土（600111）</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稀土主要产品规模领先</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2025年稀土主要产品收入326.37亿元；毛利率13.97%；PE(TTM) 37.83倍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规模显著高于盛和资源，资源与产业配套不同</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中国稀土（000831）</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业务集中于稀土行业</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2025年稀土行业收入31.82亿元；毛利率16.65%；PE(TTM) 225.8倍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收入规模小于盛和资源，稀土业务集中度较高</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厦门钨业（600549）</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钨钼、电池材料及稀土多元经营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2025年稀土业务收入约45.16亿元；毛利率10.80%；PE(TTM) 19.78倍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稀土毛利率接近盛和资源，但集团业务结构更为多元</w:t>
            </w:r>
          </w:p>
        </w:tc>
      </w:tr>
    </w:tbl>
    <w:p>
      <w:pPr>
        <w:spacing w:before="200"/>
      </w:pPr>
    </w:p>
    <w:p>
      <w:pPr>
        <w:spacing w:after="160" w:line="300"/>
      </w:pPr>
      <w:r>
        <w:rPr>
          <w:sz w:val="22"/>
          <w:szCs w:val="22"/>
        </w:rPr>
        <w:t xml:space="preserve">盛和资源稀土产品收入规模低于北方稀土、高于中国稀土；2025年稀土产品毛利率接近厦门钨业，低于北方稀土和中国稀土。产品结构、自产与贸易比例及原料来源差异使毛利率不可直接等同于长期竞争力。</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87.59亿元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+41.76%</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8.87亿元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+135.24%</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+141.23%</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12.64%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149.91亿元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+31.83%</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8.39亿元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+304.94%</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+310.31%</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113.71亿元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-36.39%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2.07亿元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-37.73%</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-26.49%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5.23%</w:t>
            </w:r>
          </w:p>
        </w:tc>
      </w:tr>
    </w:tbl>
    <w:p>
      <w:pPr>
        <w:spacing w:before="200"/>
      </w:pPr>
    </w:p>
    <w:p>
      <w:pPr>
        <w:spacing w:after="200"/>
      </w:pPr>
      <w:r>
        <w:rPr>
          <w:i/>
          <w:iCs/>
          <w:color w:val="595959"/>
          <w:sz w:val="18"/>
          <w:szCs w:val="18"/>
        </w:rPr>
        <w:t xml:space="preserve">截至2026年10月2日；采用2026年中报及2025、2024年报披露口径。</w:t>
      </w:r>
    </w:p>
    <w:p>
      <w:pPr>
        <w:spacing w:after="160" w:line="300"/>
      </w:pPr>
      <w:r>
        <w:rPr>
          <w:sz w:val="22"/>
          <w:szCs w:val="22"/>
        </w:rPr>
        <w:t xml:space="preserve">稀土产品价格上涨带动业绩，利润增速显著快于营收；中报单季继续提速。经营现金流转负，公司解释为加大采购、存货及预付款增加，后续需关注库存周转与现金回收。</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经营现金流净额/净利润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-0.70（2026中报）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盈利增长但经营现金流为负，采购及存货、预付款增加。</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加权ROE</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6.80%（2026中报）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盈利改善明显，但中报ROE仍处于中等水平。</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39.72%（2026中报）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负债率适中，整体杠杆水平可控。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存货周转天数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126.5天（2026中报）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较2025年末的120.6天增加，需跟踪库存占用。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应收账款周转天数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29.7天（2026中报）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周转天数较短，应收回款效率尚可。</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26.21倍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近5.2年25%分位（中位数44.52倍）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中位数37.83倍（中国北方稀土37.83、中国稀土225.80、厦门钨业19.78）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近5.2年47%分位（中位数2.76倍）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中位数4.86倍（中国北方稀土4.86、中国稀土11.05、厦门钨业3.75）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2.01倍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近5.2年52%分位（中位数1.94倍）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中位数2.58倍（中国北方稀土2.58、中国稀土18.95、厦门钨业1.13）</w:t>
            </w:r>
          </w:p>
        </w:tc>
      </w:tr>
    </w:tbl>
    <w:p>
      <w:pPr>
        <w:spacing w:before="200"/>
      </w:pPr>
    </w:p>
    <w:p>
      <w:pPr>
        <w:spacing w:after="200"/>
      </w:pPr>
      <w:r>
        <w:rPr>
          <w:i/>
          <w:iCs/>
          <w:color w:val="595959"/>
          <w:sz w:val="18"/>
          <w:szCs w:val="18"/>
        </w:rPr>
        <w:t xml:space="preserve">估值倍数由程序按2026-09-30收盘数据计算（滚动十二个月口径）；同行倍数按2026-09-30收盘数据同口径计算</w:t>
      </w:r>
    </w:p>
    <w:p>
      <w:pPr>
        <w:spacing w:after="160" w:line="300"/>
      </w:pPr>
      <w:r>
        <w:rPr>
          <w:sz w:val="22"/>
          <w:szCs w:val="22"/>
        </w:rPr>
        <w:t xml:space="preserve">市场隐含预期：以当前26.21倍市盈率计，若投资者要求年化8%的回报、10年后按15倍市盈率估值，每股收益需年均增长约14.2%（不计分红，偏保守），可与下方机构预测增速对照。</w:t>
      </w:r>
    </w:p>
    <w:p>
      <w:pPr>
        <w:spacing w:after="160" w:line="300"/>
      </w:pPr>
      <w:r>
        <w:rPr>
          <w:sz w:val="22"/>
          <w:szCs w:val="22"/>
        </w:rPr>
        <w:t xml:space="preserve">PE-TTM 26.21倍处于近5.2年25%分位，低于自身44.52倍中位数；PB-MRQ 2.71倍处于47%分位，接近2.76倍中位数；PS-TTM 2.01倍处于52%分位，略高于1.94倍中位数。市场隐含每股收益年均增长约14.2%，低于机构近三年预测增速，但预测兑现仍取决于稀土价格和利润现金转化。</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218.22亿元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15.63亿元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+86.3%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282.78亿元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+27.0%</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345.46亿元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24.79亿元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1.41元</w:t>
            </w:r>
          </w:p>
        </w:tc>
      </w:tr>
    </w:tbl>
    <w:p>
      <w:pPr>
        <w:spacing w:before="200"/>
      </w:pPr>
    </w:p>
    <w:p>
      <w:pPr>
        <w:spacing w:after="200"/>
      </w:pPr>
      <w:r>
        <w:rPr>
          <w:i/>
          <w:iCs/>
          <w:color w:val="595959"/>
          <w:sz w:val="18"/>
          <w:szCs w:val="18"/>
        </w:rPr>
        <w:t xml:space="preserve">近六个月2家机构平均预期，截至2026年10月2日；纪要未提供预测分歧区间。</w:t>
      </w:r>
    </w:p>
    <w:p>
      <w:pPr>
        <w:pStyle w:val="Heading2"/>
        <w:spacing w:after="120" w:before="240"/>
      </w:pPr>
      <w:r>
        <w:rPr>
          <w:b/>
          <w:bCs/>
          <w:color w:val="2E74B5"/>
          <w:sz w:val="24"/>
          <w:szCs w:val="24"/>
        </w:rPr>
        <w:t xml:space="preserve">4.3 机构观点</w:t>
      </w:r>
    </w:p>
    <w:p>
      <w:pPr>
        <w:spacing w:after="160" w:line="300"/>
      </w:pPr>
      <w:r>
        <w:rPr>
          <w:sz w:val="22"/>
          <w:szCs w:val="22"/>
        </w:rPr>
        <w:t xml:space="preserve">暂无可引用的机构目标价</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近六个月覆盖机构（2家）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买入（2家）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截至2026-10-02</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覆盖评级均为买入</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预约披露2026年三季报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关注稀土价格上涨对利润的延续性，以及经营现金流是否改善。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2026年10月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乐山抛光粉项目计划投产试车</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核实试车是否按计划开展及项目进度；此前9月底竣工验收计划的完成情况待确认。</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2026年底前</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海南库项目计划验收并试运行</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关注是否如期完成验收、启动试运行，及后续产能释放进度。</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2027-04-06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股份回购方案期限届满</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关注累计回购金额及股份数量，与2亿—4亿元方案规模对照。</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2026-07-11 上半年业绩预增并获半年报确认（利好）</w:t>
      </w:r>
      <w:r>
        <w:rPr>
          <w:sz w:val="22"/>
          <w:szCs w:val="22"/>
        </w:rPr>
        <w:t xml:space="preserve">：公司预告上半年归母净利润8.00亿—9.30亿元，半年报实际结果落在区间内；公司称增长主要受稀土产品价格上涨带动。</w:t>
      </w:r>
    </w:p>
    <w:p>
      <w:pPr>
        <w:pStyle w:val="ListParagraph"/>
        <w:numPr>
          <w:ilvl w:val="0"/>
          <w:numId w:val="2"/>
        </w:numPr>
        <w:spacing w:after="80" w:line="280"/>
      </w:pPr>
      <w:r>
        <w:rPr>
          <w:b/>
          <w:bCs/>
          <w:sz w:val="22"/>
          <w:szCs w:val="22"/>
        </w:rPr>
        <w:t xml:space="preserve">2026-09-16 首次实施股份回购（利好）</w:t>
      </w:r>
      <w:r>
        <w:rPr>
          <w:sz w:val="22"/>
          <w:szCs w:val="22"/>
        </w:rPr>
        <w:t xml:space="preserve">：公司首次回购156.73万股，成交金额3,335.70万元；方案总额为2亿—4亿元，后续实施规模仍待观察。</w:t>
      </w:r>
    </w:p>
    <w:p>
      <w:pPr>
        <w:pStyle w:val="ListParagraph"/>
        <w:numPr>
          <w:ilvl w:val="0"/>
          <w:numId w:val="2"/>
        </w:numPr>
        <w:spacing w:after="80" w:line="280"/>
      </w:pPr>
      <w:r>
        <w:rPr>
          <w:b/>
          <w:bCs/>
          <w:sz w:val="22"/>
          <w:szCs w:val="22"/>
        </w:rPr>
        <w:t xml:space="preserve">2026-09-16 中期分红预案获股东会通过（利好）</w:t>
      </w:r>
      <w:r>
        <w:rPr>
          <w:sz w:val="22"/>
          <w:szCs w:val="22"/>
        </w:rPr>
        <w:t xml:space="preserve">：股东会通过每10股派现0.50元（含税）的中期分红方案；截至分析日，股权登记日、除权除息日及派息日尚未确定。</w:t>
      </w:r>
    </w:p>
    <w:p>
      <w:pPr>
        <w:pStyle w:val="ListParagraph"/>
        <w:numPr>
          <w:ilvl w:val="0"/>
          <w:numId w:val="2"/>
        </w:numPr>
        <w:spacing w:after="80" w:line="280"/>
      </w:pPr>
      <w:r>
        <w:rPr>
          <w:b/>
          <w:bCs/>
          <w:sz w:val="22"/>
          <w:szCs w:val="22"/>
        </w:rPr>
        <w:t xml:space="preserve">2026-09-21 公司否认控股权转让传闻（中性）</w:t>
      </w:r>
      <w:r>
        <w:rPr>
          <w:sz w:val="22"/>
          <w:szCs w:val="22"/>
        </w:rPr>
        <w:t xml:space="preserve">：公司表示控股股东不存在拟对外转让公司控股权的情形；市场传闻不构成已发生的收购或控制权变更。</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稀土产品毛利率升至11.12%，同比提高6.57个百分点，价格与销量改善已转化为盈利修复。</w:t>
      </w:r>
    </w:p>
    <w:p>
      <w:pPr>
        <w:pStyle w:val="ListParagraph"/>
        <w:numPr>
          <w:ilvl w:val="0"/>
          <w:numId w:val="2"/>
        </w:numPr>
        <w:spacing w:after="80" w:line="280"/>
      </w:pPr>
      <w:r>
        <w:rPr>
          <w:sz w:val="22"/>
          <w:szCs w:val="22"/>
        </w:rPr>
        <w:t xml:space="preserve">机构预计2027、2028年净利润仍分别增长27.00%和24.89%，若产品价格稳定，增长不只依赖单年低基数。</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盈利仍有明显周期性：整体毛利率从2021年的18.72%降至2023年的4.35%，2025年回升至10.66%仍未回到前期水平。</w:t>
      </w:r>
    </w:p>
    <w:p>
      <w:pPr>
        <w:pStyle w:val="ListParagraph"/>
        <w:numPr>
          <w:ilvl w:val="0"/>
          <w:numId w:val="2"/>
        </w:numPr>
        <w:spacing w:after="80" w:line="280"/>
      </w:pPr>
      <w:r>
        <w:rPr>
          <w:sz w:val="22"/>
          <w:szCs w:val="22"/>
        </w:rPr>
        <w:t xml:space="preserve">现金转化尚未跟上利润：2026年中报经营现金流净额/净利润为-0.70，存货周转天数较2025年末增加。</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前五大客户占销售额36.39%，客户身份未公开；若主要客户压价或减少采购，可能拖累销量和盈利。</w:t>
      </w:r>
    </w:p>
    <w:p>
      <w:pPr>
        <w:pStyle w:val="ListParagraph"/>
        <w:numPr>
          <w:ilvl w:val="0"/>
          <w:numId w:val="2"/>
        </w:numPr>
        <w:spacing w:after="80" w:line="280"/>
      </w:pPr>
      <w:r>
        <w:rPr>
          <w:sz w:val="22"/>
          <w:szCs w:val="22"/>
        </w:rPr>
        <w:t xml:space="preserve">前五大供应商占采购额31.75%，且原料成本占总成本76.48%；供应或采购价格变化若无法及时向下游传导，毛利率可能承压。</w:t>
      </w:r>
    </w:p>
    <w:p>
      <w:pPr>
        <w:pStyle w:val="ListParagraph"/>
        <w:numPr>
          <w:ilvl w:val="0"/>
          <w:numId w:val="2"/>
        </w:numPr>
        <w:spacing w:after="80" w:line="280"/>
      </w:pPr>
      <w:r>
        <w:rPr>
          <w:sz w:val="22"/>
          <w:szCs w:val="22"/>
        </w:rPr>
        <w:t xml:space="preserve">乐山抛光粉项目与海南库项目仍处于计划试车、验收及试运行阶段；若延期或爬坡不顺，新增产能贡献和估值兑现将推迟。</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三季度利润增速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中报净利润同比增长135.24%</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三季度净利润继续同比增长，且增长不显著弱于营收</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净利润增速明显回落或转负</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毛利率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2026年中报为12.64%</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后续报告期毛利率维持在12%以上</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毛利率回落至10.66%以下</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现金流与库存</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现金流/净利润-0.70；周转天数126.5天</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经营现金流转正且库存周转天数下降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现金流持续为负且库存周转天数继续上升</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项目投产进度</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乐山项目计划10月试车；海南库计划年底前验收试运行</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按计划完成试车、验收并进入稳定运行</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关键节点延期或试运行后产能释放不畅</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风险提示：以下为基于当前技术与资金面条件的主观情景推演，权重仅作相对参考、并非统计概率；短线波动风险较高。</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股价低于MA5至MA60，近5日跌9.1%、近20日跌11.34%，MACD负柱扩大，短线偏弱；收盘贴近布林下轨，RSI6处于低位，若低位企稳并放量，才有反弹确认信号。</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20.74 / MA10 21.28 / MA20 21.50 / MA60 22.16</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股价低于各均线，短线偏弱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-0.519 / DEA -0.391 / 柱 -0.257</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负柱扩大，动能偏弱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26.9 / RSI14 37.0</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短线偏超卖，尚未确认反转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 22.85 / 中轨 21.50 / 下轨 20.14</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收盘贴近下轨，关注支撑有效性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近20日区间</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20.01~22.57元</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收盘接近区间下沿</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21.28~22.16元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对应MA10、MA20及MA60附近；有效突破后可看向22.57~22.85元。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20.01~20.14元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对应近20日低点与布林下轨；失守后短线或继续走弱。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19.31~20.01元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涵盖近20日低点至52周低点；若跌破19.31元，支撑参考需下移。</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以2026-09-30价格20.17元为基准，用近300个交易日的收益分布（按当前指数加权日波动率约2.8%缩放，保留这只股票自身的大涨大跌频率）推算未来5个交易日的收盘价范围：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19.14～21.43元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-5.1%～+6.2%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18.30～23.09元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-9.3%～+14.5%</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震荡整理（权重较高，约五成）</w:t>
      </w:r>
      <w:r>
        <w:rPr>
          <w:sz w:val="22"/>
          <w:szCs w:val="22"/>
        </w:rPr>
        <w:t xml:space="preserve">：19.80~21.50元；20.01~20.14元支撑有效、成交未明显放大，股价围绕低位整理。按历史波动率测算，一周后收盘落在该区间的概率约50%。</w:t>
      </w:r>
    </w:p>
    <w:p>
      <w:pPr>
        <w:pStyle w:val="ListParagraph"/>
        <w:numPr>
          <w:ilvl w:val="0"/>
          <w:numId w:val="2"/>
        </w:numPr>
        <w:spacing w:after="80" w:line="280"/>
      </w:pPr>
      <w:r>
        <w:rPr>
          <w:b/>
          <w:bCs/>
          <w:sz w:val="22"/>
          <w:szCs w:val="22"/>
        </w:rPr>
        <w:t xml:space="preserve">偏弱下行（权重中等，约三成）</w:t>
      </w:r>
      <w:r>
        <w:rPr>
          <w:sz w:val="22"/>
          <w:szCs w:val="22"/>
        </w:rPr>
        <w:t xml:space="preserve">：19.00~20.01元；放量跌破20.01元且未能收复，可能下探52周低点附近。按历史波动率测算，一周后收盘落在该区间的概率约30%。</w:t>
      </w:r>
    </w:p>
    <w:p>
      <w:pPr>
        <w:pStyle w:val="ListParagraph"/>
        <w:numPr>
          <w:ilvl w:val="0"/>
          <w:numId w:val="2"/>
        </w:numPr>
        <w:spacing w:after="80" w:line="280"/>
      </w:pPr>
      <w:r>
        <w:rPr>
          <w:b/>
          <w:bCs/>
          <w:sz w:val="22"/>
          <w:szCs w:val="22"/>
        </w:rPr>
        <w:t xml:space="preserve">反弹走强（权重偏低，约两成）</w:t>
      </w:r>
      <w:r>
        <w:rPr>
          <w:sz w:val="22"/>
          <w:szCs w:val="22"/>
        </w:rPr>
        <w:t xml:space="preserve">：21.28~22.85元；成交放大并站上21.28元，才有望向MA60及布林上轨区间修复。按历史波动率测算，一周后收盘落在该区间的概率约15%。</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2026-09-16~09-30）日成交额约3.63亿~10.45亿元、换手率约1.02%~2.7%。截至2026-06-30，前十大流通股东合计持股38.27%，含个人、地质矿产相关股东，也有ETF及QFII；股东披露有滞后，结构或已变化。近期成交活跃度有波动，交易时应关注流动性变化。</w:t>
      </w:r>
    </w:p>
    <w:p>
      <w:pPr>
        <w:spacing w:after="160" w:line="300"/>
      </w:pPr>
      <w:r>
        <w:rPr>
          <w:sz w:val="22"/>
          <w:szCs w:val="22"/>
        </w:rPr>
        <w:t xml:space="preserve">若成交额连续两日超过10.45亿元，且收盘站上21.28元，可视为放量转强的可检验信号。</w:t>
      </w:r>
    </w:p>
    <w:p>
      <w:pPr>
        <w:spacing w:after="200"/>
      </w:pPr>
      <w:r>
        <w:rPr>
          <w:i/>
          <w:iCs/>
          <w:color w:val="595959"/>
          <w:sz w:val="18"/>
          <w:szCs w:val="18"/>
        </w:rPr>
        <w:t xml:space="preserve">以上情景推演基于2026-09-30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盛和资源(600392)_公司公告_盛和资源：2022年年度报告新浪财经_新浪网 — https://money.finance.sina.com.cn/corp/view/vCB_AllBulletinDetail.php?id=9167694&amp;stockid=600392</w:t>
      </w:r>
    </w:p>
    <w:p>
      <w:pPr>
        <w:spacing w:after="200"/>
      </w:pPr>
      <w:r>
        <w:rPr>
          <w:i/>
          <w:iCs/>
          <w:color w:val="595959"/>
          <w:sz w:val="18"/>
          <w:szCs w:val="18"/>
        </w:rPr>
        <w:t xml:space="preserve">盛和资源控股股份有限公司2025年年度报告 — https://static.cninfo.com.cn/finalpage/2026-04-30/1225258047.PDF</w:t>
      </w:r>
    </w:p>
    <w:p>
      <w:pPr>
        <w:spacing w:after="200"/>
      </w:pPr>
      <w:r>
        <w:rPr>
          <w:i/>
          <w:iCs/>
          <w:color w:val="595959"/>
          <w:sz w:val="18"/>
          <w:szCs w:val="18"/>
        </w:rPr>
        <w:t xml:space="preserve">盛和资源(600392)_公司公告_盛和资源：2024年年度报告(更正版)新浪财经_新浪网 — https://money.finance.sina.com.cn/corp/view/vCB_AllBulletinDetail.php?id=11158515&amp;stockid=600392</w:t>
      </w:r>
    </w:p>
    <w:p>
      <w:pPr>
        <w:spacing w:after="200"/>
      </w:pPr>
      <w:r>
        <w:rPr>
          <w:i/>
          <w:iCs/>
          <w:color w:val="595959"/>
          <w:sz w:val="18"/>
          <w:szCs w:val="18"/>
        </w:rPr>
        <w:t xml:space="preserve">盛和资源(600392)_公司公告_盛和资源：2025年年度报告新浪财经_新浪网 — https://money.finance.sina.com.cn/corp/view/vCB_AllBulletinDetail.php?id=12278426&amp;stockid=600392</w:t>
      </w:r>
    </w:p>
    <w:p>
      <w:pPr>
        <w:spacing w:after="200"/>
      </w:pPr>
      <w:r>
        <w:rPr>
          <w:i/>
          <w:iCs/>
          <w:color w:val="595959"/>
          <w:sz w:val="18"/>
          <w:szCs w:val="18"/>
        </w:rPr>
        <w:t xml:space="preserve">盛和资源(600392)_公司公告_盛和资源：盛和资源2021年年度报告新浪财经_新浪网 — https://money.finance.sina.com.cn/corp/view/vCB_AllBulletinDetail.php?id=8049483&amp;stockid=600392</w:t>
      </w:r>
    </w:p>
    <w:p>
      <w:pPr>
        <w:spacing w:after="200"/>
      </w:pPr>
      <w:r>
        <w:rPr>
          <w:i/>
          <w:iCs/>
          <w:color w:val="595959"/>
          <w:sz w:val="18"/>
          <w:szCs w:val="18"/>
        </w:rPr>
        <w:t xml:space="preserve">盛和资源(600392)_公司公告_盛和资源：2023年年度报告新浪财经_新浪网 — https://money.finance.sina.com.cn/corp/view/vCB_AllBulletinDetail.php?id=10103918&amp;stockid=600392</w:t>
      </w:r>
    </w:p>
    <w:p>
      <w:pPr>
        <w:spacing w:after="200"/>
      </w:pPr>
      <w:r>
        <w:rPr>
          <w:i/>
          <w:iCs/>
          <w:color w:val="595959"/>
          <w:sz w:val="18"/>
          <w:szCs w:val="18"/>
        </w:rPr>
        <w:t xml:space="preserve">北方稀土: 北方稀土2025年度报告全文_公司公告_每日必读_股票_证券之星 — https://4g.stockstar.com/detail/SN2026041800003410</w:t>
      </w:r>
    </w:p>
    <w:p>
      <w:pPr>
        <w:spacing w:after="200"/>
      </w:pPr>
      <w:r>
        <w:rPr>
          <w:i/>
          <w:iCs/>
          <w:color w:val="595959"/>
          <w:sz w:val="18"/>
          <w:szCs w:val="18"/>
        </w:rPr>
        <w:t xml:space="preserve">中国稀土(000831)_公司公告_中国稀土：2025年年度报告新浪财经_新浪网 — https://money.finance.sina.com.cn/corp/view/vCB_AllBulletinDetail.php?id=12233281&amp;stockid=000831</w:t>
      </w:r>
    </w:p>
    <w:p>
      <w:pPr>
        <w:spacing w:after="200"/>
      </w:pPr>
      <w:r>
        <w:rPr>
          <w:i/>
          <w:iCs/>
          <w:color w:val="595959"/>
          <w:sz w:val="18"/>
          <w:szCs w:val="18"/>
        </w:rPr>
        <w:t xml:space="preserve">东方财富 F10 财务分析 — https://emweb.securities.eastmoney.com/pc_hsf10/pages/index.html?type=web&amp;code=SH600392#/cwfx</w:t>
      </w:r>
    </w:p>
    <w:p>
      <w:pPr>
        <w:spacing w:after="200"/>
      </w:pPr>
      <w:r>
        <w:rPr>
          <w:i/>
          <w:iCs/>
          <w:color w:val="595959"/>
          <w:sz w:val="18"/>
          <w:szCs w:val="18"/>
        </w:rPr>
        <w:t xml:space="preserve">东方财富 F10 盈利预测 — https://emweb.securities.eastmoney.com/pc_hsf10/pages/index.html?type=web&amp;code=SH600392#/ylyc</w:t>
      </w:r>
    </w:p>
    <w:p>
      <w:pPr>
        <w:spacing w:after="200"/>
      </w:pPr>
      <w:r>
        <w:rPr>
          <w:i/>
          <w:iCs/>
          <w:color w:val="595959"/>
          <w:sz w:val="18"/>
          <w:szCs w:val="18"/>
        </w:rPr>
        <w:t xml:space="preserve">盛和资源:盛和资源控股股份有限公司2026年半年度报告 — https://pdf.dfcfw.com/pdf/H2_AN202608281828622984_1.pdf</w:t>
      </w:r>
    </w:p>
    <w:p>
      <w:pPr>
        <w:spacing w:after="200"/>
      </w:pPr>
      <w:r>
        <w:rPr>
          <w:i/>
          <w:iCs/>
          <w:color w:val="595959"/>
          <w:sz w:val="18"/>
          <w:szCs w:val="18"/>
        </w:rPr>
        <w:t xml:space="preserve">static.cninfo.com.cn（公告PDF） — https://static.cninfo.com.cn/finalpage/2026-08-29/1225525089.PDF</w:t>
      </w:r>
    </w:p>
    <w:p>
      <w:pPr>
        <w:spacing w:after="200"/>
      </w:pPr>
      <w:r>
        <w:rPr>
          <w:i/>
          <w:iCs/>
          <w:color w:val="595959"/>
          <w:sz w:val="18"/>
          <w:szCs w:val="18"/>
        </w:rPr>
        <w:t xml:space="preserve">公司公告_盛和资源：2026年半年度业绩预增预告新浪财经_新浪网 — https://vip.stock.finance.sina.com.cn/corp/view/vCB_AllBulletinDetail.php?id=12439810</w:t>
      </w:r>
    </w:p>
    <w:p>
      <w:pPr>
        <w:spacing w:after="200"/>
      </w:pPr>
      <w:r>
        <w:rPr>
          <w:i/>
          <w:iCs/>
          <w:color w:val="595959"/>
          <w:sz w:val="18"/>
          <w:szCs w:val="18"/>
        </w:rPr>
        <w:t xml:space="preserve">盛和资源(600392)_公司公告_盛和资源：关于以集中竞价交易方式首次回购股份的公告新浪财经_新浪网 — https://money.finance.sina.com.cn/corp/view/vCB_AllBulletinDetail.php?id=12604477&amp;stockid=600392</w:t>
      </w:r>
    </w:p>
    <w:p>
      <w:pPr>
        <w:spacing w:after="200"/>
      </w:pPr>
      <w:r>
        <w:rPr>
          <w:i/>
          <w:iCs/>
          <w:color w:val="595959"/>
          <w:sz w:val="18"/>
          <w:szCs w:val="18"/>
        </w:rPr>
        <w:t xml:space="preserve">盛和资源(600392)_公司公告_盛和资源：2026年中期分红预案的公告新浪财经_新浪网 — https://money.finance.sina.com.cn/corp/view/vCB_AllBulletinDetail.php?id=12566270&amp;stockid=600392</w:t>
      </w:r>
    </w:p>
    <w:p>
      <w:pPr>
        <w:spacing w:after="200"/>
      </w:pPr>
      <w:r>
        <w:rPr>
          <w:i/>
          <w:iCs/>
          <w:color w:val="595959"/>
          <w:sz w:val="18"/>
          <w:szCs w:val="18"/>
        </w:rPr>
        <w:t xml:space="preserve">盛和资源(600392)_公司公告_盛和资源：2026年第一次临时股东会决议公告新浪财经_新浪网 — https://vip.stock.finance.sina.com.cn/corp/view/vCB_AllBulletinDetail.php?id=12604479&amp;stockid=600392</w:t>
      </w:r>
    </w:p>
    <w:p>
      <w:pPr>
        <w:spacing w:after="200"/>
      </w:pPr>
      <w:r>
        <w:rPr>
          <w:i/>
          <w:iCs/>
          <w:color w:val="595959"/>
          <w:sz w:val="18"/>
          <w:szCs w:val="18"/>
        </w:rPr>
        <w:t xml:space="preserve">中国证券报 - 盛和资源控股股份有限公司&lt;BR/&gt;关于媒体报道的澄清公告 — https://epaper.cs.com.cn/zgzqb/html/2026-09/21/nw.D110000zgzqb_20260921_9-A15.htm</w:t>
      </w:r>
    </w:p>
    <w:p>
      <w:pPr>
        <w:spacing w:after="200"/>
      </w:pPr>
      <w:r>
        <w:rPr>
          <w:i/>
          <w:iCs/>
          <w:color w:val="595959"/>
          <w:sz w:val="18"/>
          <w:szCs w:val="18"/>
        </w:rPr>
        <w:t xml:space="preserve">盛和资源(600392)_公司公告_盛和资源：2025年年度权益分派实施公告新浪财经_新浪网 — https://vip.stock.finance.sina.com.cn/corp/view/vCB_AllBulletinDetail.php?id=12439811&amp;stockid=600392</w:t>
      </w:r>
    </w:p>
    <w:p>
      <w:pPr>
        <w:spacing w:after="200"/>
      </w:pPr>
      <w:r>
        <w:rPr>
          <w:i/>
          <w:iCs/>
          <w:color w:val="595959"/>
          <w:sz w:val="18"/>
          <w:szCs w:val="18"/>
        </w:rPr>
        <w:t xml:space="preserve">证券代码：600392　　证券简称：盛和资源　　公告编号：2026-029 — https://static.cninfo.com.cn/finalpage/2026-06-26/1225387915.PDF</w:t>
      </w:r>
    </w:p>
    <w:p>
      <w:pPr>
        <w:spacing w:after="200"/>
      </w:pPr>
      <w:r>
        <w:rPr>
          <w:i/>
          <w:iCs/>
          <w:color w:val="595959"/>
          <w:sz w:val="18"/>
          <w:szCs w:val="18"/>
        </w:rPr>
        <w:t xml:space="preserve">东方财富 个股资金流向 — https://data.eastmoney.com/zjlx/600392.html</w:t>
      </w:r>
    </w:p>
    <w:p>
      <w:pPr>
        <w:spacing w:after="200"/>
      </w:pPr>
      <w:r>
        <w:rPr>
          <w:i/>
          <w:iCs/>
          <w:color w:val="595959"/>
          <w:sz w:val="18"/>
          <w:szCs w:val="18"/>
        </w:rPr>
        <w:t xml:space="preserve">东方财富 股东研究 — https://emweb.securities.eastmoney.com/pc_hsf10/pages/index.html?type=web&amp;code=SH600392#/gdyj</w:t>
      </w:r>
    </w:p>
    <w:p>
      <w:pPr>
        <w:spacing w:after="200"/>
      </w:pPr>
      <w:r>
        <w:rPr>
          <w:i/>
          <w:iCs/>
          <w:color w:val="595959"/>
          <w:sz w:val="18"/>
          <w:szCs w:val="18"/>
        </w:rPr>
        <w:t xml:space="preserve">本报告由AI基于公开渠道信息自动检索、整理并生成，信息截至 2026-09-30收盘，可能存在时效性差异，具体数据请以公司正式公告及权威数据终端为准。本报告仅为信息整理与研究参考，不构成任何投资建议，投资者应独立判断并自行承担投资风险。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2026-10-01T20:09:48.372Z</dcterms:created>
  <dcterms:modified xsi:type="dcterms:W3CDTF">2026-10-01T20:09:48.372Z</dcterms:modified>
</cp:coreProperties>
</file>

<file path=docProps/custom.xml><?xml version="1.0" encoding="utf-8"?>
<Properties xmlns="http://schemas.openxmlformats.org/officeDocument/2006/custom-properties" xmlns:vt="http://schemas.openxmlformats.org/officeDocument/2006/docPropsVTypes"/>
</file>