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贵州茅台酒股份有限公司 (600519)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行业：高端白酒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报告日期：2026年10月10日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行情截至2026-10-09收盘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核心结论：品牌与低估值提供缓冲，但利润尚未企稳，增长修复仍待验证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1263.00元（+0.57%）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约15788.53亿元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19.39倍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6.28倍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1151.01～1539.98元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44.53亿元／0.28%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行情数据截至：2026-10-09收盘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收入微增尚未转化为盈利增长</w:t>
      </w:r>
      <w:r>
        <w:rPr>
          <w:sz w:val="22"/>
          <w:szCs w:val="22"/>
        </w:rPr>
        <w:t xml:space="preserve">：2026年上半年营收907.03亿元、同比增长1.47%，归母净利润445.17亿元、同比下降1.95%，扣非净利润同比下降2.04%。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茅台酒稳住基本盘，系列酒仍是拖累</w:t>
      </w:r>
      <w:r>
        <w:rPr>
          <w:sz w:val="22"/>
          <w:szCs w:val="22"/>
        </w:rPr>
        <w:t xml:space="preserve">：2025年茅台酒收入同比增长0.39%，系列酒下降9.76%；直销占酒类主营收入约50.1%，渠道结构改善尚未抵消系列酒走弱。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估值处历史低位，仍保留品牌溢价</w:t>
      </w:r>
      <w:r>
        <w:rPr>
          <w:sz w:val="22"/>
          <w:szCs w:val="22"/>
        </w:rPr>
        <w:t xml:space="preserve">：10月9日收盘1263元，PE-TTM 19.39倍、PB-MRQ 6.28倍，分别处近5.2年4%、5%分位；机构预测2026—2028年净利润增速为2.2%、5.8%、5.7%。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：19.39倍PE对应的10年期年化EPS增速约10.8%，高于机构对2026—2028年2.2%、5.8%、5.7%的单年净利润增速预测；两者期限不同，不能直接等同比较。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：近期业绩仍处承压阶段：2025年归母净利润下降4.53%，2026年上半年利润继续下滑。市场隐含的长期增长要求尚未被当前业绩验证，但品牌与渠道优势仍在。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证据倾向：均衡；置信度：高（关键财务数字已与官方原文核对）</w:t>
      </w:r>
    </w:p>
    <w:p>
      <w:pPr>
        <w:spacing w:after="160" w:line="300"/>
      </w:pPr>
      <w:r>
        <w:rPr>
          <w:sz w:val="22"/>
          <w:szCs w:val="22"/>
        </w:rPr>
        <w:t xml:space="preserve">利润连续承压与历史低估值并存，品牌优势明确，但增长拐点尚无业绩验证。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生产并销售茅台酒及系列酒，面向经销商、商超、电商及直销消费者，依托品牌与产品结构实现溢价。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茅台酒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约86.80%（2025年酒类主营收入口径）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93.53%（2025年）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+0.39%（2025年同比）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核心高端产品，收入基本持平，毛利率显著高于系列酒。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其他系列酒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约13.20%（2025年酒类主营收入口径）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76.11%（2025年）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-9.76%（2025年同比）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收入下滑，是酒类主营收入下降的主要结构因素。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品牌溢价：2025年茅台酒毛利率93.53%，酒类主营毛利率91.23%。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工艺与时间：生产至出厂至少五年，基酒需跨年份、轮次勾调。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渠道收益留存：2025年直销占酒类主营收入约50.1%，毛利率高于批发代理。</w:t>
      </w:r>
    </w:p>
    <w:p>
      <w:pPr>
        <w:spacing w:after="160" w:line="300"/>
      </w:pPr>
      <w:r>
        <w:rPr>
          <w:sz w:val="22"/>
          <w:szCs w:val="22"/>
        </w:rPr>
        <w:t xml:space="preserve">主要威胁：高端白酒需求与渠道消化承压；2025年系列酒收入下降、酒类库存增加，可能削弱产品与渠道议价。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采购包括高粱、小麦、包装材料、能源及车间辅助材料；2025年采购额中包装材料占51.14%、酿酒原材料占41.38%。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高粱、小麦通过合作社、农户等组织采购；2025年前五大供应商采购额占38.12%，公司对粮食、包装及能源成本的定价权未量化披露。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客户包括经销商、商超、电商及直销消费者；直销占酒类主营收入约50.1%，批发代理约49.9%。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白酒渠道议价随产品热度、库存与终端动销变化；直销扩张降低对代理渠道依赖，但库存上升仍体现渠道消化约束。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2025年年报披露前五大客户销售额占10.10%、关联方占3.77%；仅代表当年报表客户，不等同于终端消费者集中度。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2025年末应收账款26.09万元、约占营收0.00015%；存货614.27亿元、占总资产约20.22%，为主要资金占用项。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约91.62%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约47.93%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核心产品高毛利与品牌溢价提供利润基础。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约91.87%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约49.17%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毛利率保持高位，收入与归母净利润增长。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约91.96%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约50.60%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主营毛利率维持高位，净利率升至五年区间高位。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约92.08%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约50.46%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毛利率小幅上行，费用及税费等影响净利率。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91.23%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约48.76%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系列酒收入下滑、主营成本及销售费用增长，利润率回落。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茅台位于白酒产业链品牌与高端产品溢价端，盈利由茅台酒品牌、产品结构和渠道收益驱动；进一步改善取决于需求恢复、系列酒结构优化、库存消化与渠道投入效率。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高端白酒仍处于品牌与渠道分化阶段；对茅台的关键变量是需求及渠道库存消化，2025年系列酒收入下滑、酒类库存增加。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五粮液（000858）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多粮浓香型全国性高端品牌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2025年营收405.29亿元；酒类毛利率83.75%；PE(TTM) 20.93倍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香型与品牌定位不同；2025年营收及毛利率低于茅台，收入确认口径调整影响同比可比性。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泸州老窖（000568）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浓香型，国窖1573等中高端产品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2025年营收257.31亿元；毛利率约86.6%；PE(TTM) 14.02倍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以浓香型中高端产品为主，营收规模与毛利率均低于茅台。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山西汾酒（600809）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清香型，汾酒为核心，省外市场占比较高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2025年营收387.18亿元；毛利率74.95%；PE(TTM) 13.87倍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香型及价格带不同，营收规模与毛利率低于茅台。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茅台在所列同行中营收规模和毛利率最高，优势集中于核心品牌产品溢价与渠道收益留存；短板是系列酒毛利率明显低于茅台酒且2025年收入下滑。同行香型、价格带和渠道结构不同，整体指标不构成严格同口径排名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907.03亿元人民币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+1.30%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445.17亿元人民币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-1.95%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-2.04%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89.56%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1720.54亿元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-1.20%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823.20亿元人民币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-4.53%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-4.58%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91.18%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1741.44亿元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+15.66%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862.28亿元人民币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+15.38%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+15.37%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91.93%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5项与表中一致，1项不同。</w:t>
      </w:r>
    </w:p>
    <w:p>
      <w:pPr>
        <w:spacing w:after="160" w:line="300"/>
      </w:pPr>
      <w:r>
        <w:rPr>
          <w:sz w:val="22"/>
          <w:szCs w:val="22"/>
        </w:rPr>
        <w:t xml:space="preserve">业绩增速由2024年的双位数转为2025年回落；2026年上半年收入微增、利润仍降，所在单季度环比走弱。经营现金流大增主要受财务公司成员单位存款及同业存款变化影响。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16.75%（2026年中报）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半年度盈利能力仍较强。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15.19%（2026年中报）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负债水平较低，资产负债表稳健。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1.54（2026年中报）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现金流改善受财务公司存款变动明显影响。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1166.1天（2026年中报）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生产包含制曲、制酒及贮存环节，需结合酒类生产周期观察。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19.39倍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近5.2年4%分位（中位数29.56倍）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中位数14.02倍（五粮液20.93、泸州老窖14.02、山西汾酒13.87）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6.28倍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近5.2年5%分位（中位数9.51倍）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中位数2.31倍（五粮液2.31、泸州老窖2.30、山西汾酒3.71）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9.11倍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近5.2年3%分位（中位数14.71倍）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中位数5.33倍（五粮液6.03、泸州老窖5.33、山西汾酒3.94）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4.12%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估值倍数由程序按2026-10-09收盘数据计算（滚动十二个月口径）；同行倍数按2026-10-09收盘数据同口径计算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19.39倍市盈率计，若投资者要求年化8%的回报、10年后按15倍市盈率估值，每股收益需年均增长约10.8%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PE-TTM 19.39倍、PB-MRQ 6.28倍、PS-TTM 9.11倍，分别处近5.2年4%、5%、3%分位，显著低于各自历史中位数；但PB、PS仍高于所列同行，体现品牌溢价。价格隐含的10年期年化EPS增速约10.8%，高于机构对未来三年单年净利润增速的预测；期限口径不同，长期增长要求仍待验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1769.69亿元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840.99亿元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+2.2%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67.25元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1859.11亿元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889.45亿元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+5.8%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71.13元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1955.24亿元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940.14亿元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+5.7%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75.18元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东方财富近六个月研报汇总，截至2026-10-10。可见机构研报明细，评级人数另计：2026E净利润30家、EPS30家；2027E净利润30家、EPS30家；2028E净利润29家、EPS29家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1家，1430元；最新为群益证券2026-08-18的1430元。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诚通证券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2026-09-21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2026E归母净利润814.24亿元。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长江证券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2026-08-28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2026E归母净利润811.20亿元。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群益证券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持有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目标价1430元。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关注收入、利润增速及经营现金流变化，判断业绩增速承压是否延续。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2026-08-14 半年报经营现金流大幅改善（中性）</w:t>
      </w:r>
      <w:r>
        <w:rPr>
          <w:sz w:val="22"/>
          <w:szCs w:val="22"/>
        </w:rPr>
        <w:t xml:space="preserve">：上半年经营活动现金流净额706.91亿元，同比增438.84%；6月末现金余额1848.11亿元，较年初增46.18%，现金流表现强于利润增速。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2026-09-22 签订仓储设备采购安装合同（中性）</w:t>
      </w:r>
      <w:r>
        <w:rPr>
          <w:sz w:val="22"/>
          <w:szCs w:val="22"/>
        </w:rPr>
        <w:t xml:space="preserve">：公司与北自科技签订坛厂包装物流园B园仓储设备采购与安装合同，金额2.4888亿元，属于物流配套投入，不直接形成收入催化。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品牌溢价仍强：2025年茅台酒毛利率93.53%，酒类主营毛利率91.23%。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渠道掌控力提供缓冲：2025年直销占酒类主营收入约50.1%，降低对批发代理渠道的依赖。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财务结构稳健：2026年中报资产负债率15.19%，加权ROE为16.75%。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库存消化仍有压力：2025年末存货614.27亿元，占总资产约20.22%。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盈利能力回落：2025年酒类主营毛利率降至91.23%，净利率约48.76%，较2024年约50.46%走低。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现金流改善质量需辨别：2026年上半年经营现金流净额同比增长438.84%，但主要受财务公司成员单位存款及同业存款变化影响。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包装及粮食价格波动→2025年采购额中包装材料占51.14%、酿酒原材料占41.38%，成本上行可能压缩利润率。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长生产周期与需求变化错配→生产至出厂至少五年，需求判断偏差可能延长库存占用并降低供需调整弹性。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三季报收入与利润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预约2026年10月31日披露；上半年收入增、利润降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三季度收入和归母净利润同比均转正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利润降幅扩大或收入转为同比下降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茅台酒与系列酒收入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2025年分别同比增长0.39%、下降9.76%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系列酒收入降幅收窄，茅台酒收入保持增长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系列酒降幅扩大或茅台酒转为下降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毛利率与库存周转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2026年中报毛利率89.56%，存货周转天数1166.1天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毛利率止降，存货周转天数连续改善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毛利率继续下行且周转天数上升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经营现金流质量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2026年上半年经营现金流净额706.91亿元，受存款变动影响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后续现金流改善与利润增长同步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现金流再度大幅波动且利润仍未回升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以下为主观情景推演，权重是技术与资金面的启发式判断，非统计概率，不构成投资建议。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股价回到MA5/10上方，但仍受MA20与MA60压制；MACD柱转正显示动能修复，短线需观察能否站稳中轨并向上突破均线压力。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 MA5/MA10/MA20/MA60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1251.37 / MA10 1250.86 / MA20 1269.54 / MA60 1291.08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收盘高于短均线，低于MA20与MA60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布林带上轨/中轨/下轨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1321.03 / 中轨 1269.54 / 下轨 1218.05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收盘略低于中轨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 DIF/DEA/柱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-12.150 / DEA -12.518 / 柱 0.736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柱值转正，短线动能有所修复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56.9 / RSI14 46.9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短周期偏强，整体未显著过热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+2.1%/-2.76%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短线反弹，近月仍偏弱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1269.54~1291.08元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对应MA20与MA60；有效突破后关注布林上轨1321.03元附近。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1228.10~1251.37元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对应近20日低点及MA5/10；失守后支撑转弱，关注布林下轨。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1218.05~1228.10元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对应布林下轨与近20日低点；跌破后或下探52周低点1151.01元。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以2026-10-09价格1263.00元为基准，用近300个交易日的收益分布（按当前指数加权日波动率约1.1%缩放，保留这只股票自身的大涨大跌频率）推算未来5个交易日的收盘价范围：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1233.77～1290.79元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-2.3%～+2.2%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1215.06～1328.33元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-3.8%～+5.2%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：若守住1228.10元且未能有效突破1291.08元，一周后收于1228.10~1291.08元。按历史波动率测算，一周后收盘落在该区间的概率约75%。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：若放量跌破1228.10元并失守布林下轨1218.05元，一周后或收于1151.01~1218.05元。按历史波动率测算，一周后收盘落在该区间的概率约5%。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：若放量突破1291.08元并站稳，短线或向布林上轨靠拢，一周后或收于1291.08~1321.03元。按历史波动率测算，一周后收盘落在该区间的概率约15%。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（2026-09-18至10-09）日成交额约30.84亿~47.93亿元、换手率约0.20%~0.31%；10月9日成交44.53亿元、换手率0.28%，成交量为近20日均量1.3倍。前十大流通股东截至2026-06-30合计持股67.62%，其中控股股东持股54.50%；名单含保险、基金及私募持有人，披露存在滞后，结构可能变化。换手率较低，较大交易仍需关注委托规模与成交冲击。</w:t>
      </w:r>
    </w:p>
    <w:p>
      <w:pPr>
        <w:spacing w:after="160" w:line="300"/>
      </w:pPr>
      <w:r>
        <w:rPr>
          <w:sz w:val="22"/>
          <w:szCs w:val="22"/>
        </w:rPr>
        <w:t xml:space="preserve">若日成交额持续超过近10日区间上沿47.93亿元且换手率高于0.31%，可视为量能确认信号。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-09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贵州茅台酒股份有限公司2025年年度报告 — https://big5.sse.com.cn/site/cht/www.sse.com.cn/disclosure/listedinfo/announcement/c/new/2026-04-17/600519_20260417_9QS4.pdf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贵州茅台(600519)_公司公告_贵州茅台：2025年年度报告新浪财经_新浪网 — https://money.finance.sina.com.cn/corp/view/vCB_AllBulletinDetail.php?id=12104117&amp;stockid=600519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五粮液(000858)_公司公告_五粮液：2025年年度报告新浪财经_新浪网 — https://money.finance.sina.com.cn/corp/view/vCB_AllBulletinDetail.php?id=12294780&amp;stockid=000858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贵州茅台(sh600519)股票价格_股票实时行情_走势图-新浪财经 — https://quotes.sina.cn/hs/company/quotes/view/sh600519?oid=XkQ&amp;vt=4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贵州茅台酒股份有限公司2024年年度报告 — https://www.moutai.com.cn/mtgf/articleFileDir/2025-04/08/8055b7bed7db41bdbc617f4c9b9ec591.pdf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贵州茅台2026年半年度报告 — https://static.cninfo.com.cn/finalpage/2026-08-15/1225475868.PDF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贵州茅台2025年年度报告 — https://static.cninfo.com.cn/finalpage/2026-04-17/1225114741.PDF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贵州茅台2024年年度报告 — https://static.cninfo.com.cn/finalpage/2025-04-03/1222993920.PDF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贵州茅台2023年年度报告 — https://static.cninfo.com.cn/finalpage/2024-04-03/1219506510.PDF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腾讯财经行情（2026-10-09） — https://gu.qq.com/sh600519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https://emweb.securities.eastmoney.com/pc_hsf10/pages/index.html?type=web&amp;code=SH600519#/cwfx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https://emweb.securities.eastmoney.com/pc_hsf10/pages/index.html?type=web&amp;code=SH600519#/ylyc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贵州茅台:贵州茅台2026年半年度报告 — https://pdf.dfcfw.com/pdf/H2_AN202608141827994408_1.pdf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贵州茅台酒股份有限公司2026年度新浪项目采购 — https://ggzy.guizhou.gov.cn/tradeInfo/detailHtml?metaId=1263010539685154816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贵州茅台被执行158万元？公司回应_大河财立方 — https://app.dahecube.com/nweb/news/20260916/287194ndd2082d5eb1.htm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贵州茅台被执行158万元？公司回应 - 贵州茅台被执行158万元 — http://stock.10jqka.com.cn/20260916/c679976476.shtml#1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贵州茅台被执行158万元？公司回应 — https://finance.eastmoney.com/a/202609163876167522.html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北自科技：与贵州茅台签订2.49亿元设备供货合同 — https://www.cnstock.com/commonDetail/794128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大河财立方 — https://app.dahecube.com/nweb/wap/article.html?artid=287194?chname=%e5%9b%ba%e5%a7%8b?qtype=0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贵州茅台回应“被执行158万元” — https://m.163.com/dy/article/L703KOQE0514R9P4.html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茅台酒“十四五”技改建设项目制酒三片区施工中标结果公告 — https://ggzy.guizhou.gov.cn/tradeInfo/detailHtml?metaId=1261499511193341952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https://data.eastmoney.com/zjlx/600519.html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https://emweb.securities.eastmoney.com/pc_hsf10/pages/index.html?type=web&amp;code=SH600519#/gdyj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2026-10-09收盘，可能存在时效性差异，具体数据请以公司正式公告及权威数据终端为准。本报告仅为信息整理与研究参考，不构成任何投资建议，投资者应独立判断并自行承担投资风险。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2026-10-10T11:52:44.203Z</dcterms:created>
  <dcterms:modified xsi:type="dcterms:W3CDTF">2026-10-10T11:52:44.203Z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