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江苏中天科技股份有限公司（中天科技，600522） (600522)</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行业：通信、电力与海洋能源互联制造</w:t>
      </w:r>
    </w:p>
    <w:p>
      <w:pPr>
        <w:jc w:val="center"/>
      </w:pPr>
      <w:r>
        <w:rPr>
          <w:color w:val="595959"/>
          <w:sz w:val="22"/>
          <w:szCs w:val="22"/>
        </w:rPr>
        <w:t xml:space="preserve">报告日期：2026年9月13日</w:t>
      </w:r>
    </w:p>
    <w:p>
      <w:pPr>
        <w:jc w:val="center"/>
      </w:pPr>
      <w:r>
        <w:rPr>
          <w:color w:val="595959"/>
          <w:sz w:val="20"/>
          <w:szCs w:val="20"/>
        </w:rPr>
        <w:t xml:space="preserve">数据截至2026年9月11日收盘；下一交易周为2026年9月14日至9月18日。价格、成交量、成交额及估值数据主要参考中财网、英为财情等，部分平台存在延迟或口径差异。</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中天科技2026年上半年经营明显提速：实现营业收入309.39亿元，同比增长31.10%；归母净利润23.87亿元，同比增长52.29%，扣非归母净利润22.12亿元，同比增长50.72%，综合毛利率提升至16.48%。业绩预增已基本兑现，盈利改善主要与光纤光缆价格及盈利能力修复、高压海缆项目交付、AI算力及数字新基建相关需求增长有关；但半年度报告未经审计，且利润中仍包含政府补助、资产处置收益等非经常性因素。</w:t>
      </w:r>
    </w:p>
    <w:p>
      <w:pPr>
        <w:spacing w:after="160" w:line="300"/>
      </w:pPr>
      <w:r>
        <w:rPr>
          <w:sz w:val="22"/>
          <w:szCs w:val="22"/>
        </w:rPr>
        <w:t xml:space="preserve">公司业务呈现“通信+能源”双主业特征，2025年收入主要来自电网建设、铜产品、光通信及网络、海洋系列和新能源。其中海洋系列、光通信及网络毛利率分别为23.83%和22.58%，而铜产品、新能源毛利率仅为2.17%和5.56%，低毛利业务仍对整体盈利形成拖累。2025年公司营业收入525.00亿元，同比增长9.24%，归母净利润29.02亿元，同比增长约2.25%，整体毛利率由2022年约18.28%下降至2025年约13.88%，盈利结构改善仍需持续验证。</w:t>
      </w:r>
    </w:p>
    <w:p>
      <w:pPr>
        <w:spacing w:after="160" w:line="300"/>
      </w:pPr>
      <w:r>
        <w:rPr>
          <w:sz w:val="22"/>
          <w:szCs w:val="22"/>
        </w:rPr>
        <w:t xml:space="preserve">公司处于中游制造及系统集成环节，材料成本敏感度较高；2025年应收账款151.98亿元、存货78.44亿元，按简单折算应收账款周转天数约101天，项目制回款和库存占用较为明显。机构对2026—2028年盈利预测较为乐观，但预测区间较大，2026年归母净利润预测为46.57亿至76.37亿元。技术面上，9月11日股价收于34.49元，重新站上主要短中期均线，但成交额约89.84亿元、换手率7.78%，且随机指标处于超买区域，当前仍属于反弹后的技术确认阶段。</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总部</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江苏省南通市</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研究基准日</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2026年9月11日</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财务数据主要截至</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2025年12月31日</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最新完整年度报告</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中天科技2025年年度报告，董事会批准报出日为2026年4月23日</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2025年营业收入</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525.00亿元，同比增长9.24%</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2025年制造业收入</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517.93亿元，占总收入98.65%</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2025年光伏发电收入</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2.72亿元，占总收入0.52%</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2025年境内收入</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429.80亿元，占总收入81.87%</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2025年境外收入</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90.85亿元，占总收入17.31%</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业务模式</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以产品研发、规模化制造、工程施工及系统解决方案为主，具有“通信+能源”双主业特征</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资源属性</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不是矿产资源型企业，未发现公司拥有煤炭、铜矿或其他大宗矿产资源储量的公开披露</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电网建设：2025年收入222.64亿元，占总收入42.41%，毛利率14.92%；主要涉及特种导线、输电材料、高压电缆、工程交付及海外电网业务。</w:t>
      </w:r>
    </w:p>
    <w:p>
      <w:pPr>
        <w:pStyle w:val="ListParagraph"/>
        <w:numPr>
          <w:ilvl w:val="0"/>
          <w:numId w:val="2"/>
        </w:numPr>
        <w:spacing w:after="80" w:line="280"/>
      </w:pPr>
      <w:r>
        <w:rPr>
          <w:sz w:val="22"/>
          <w:szCs w:val="22"/>
        </w:rPr>
        <w:t xml:space="preserve">铜产品：2025年收入95.21亿元，占总收入18.14%，毛利率2.17%；主要包括铜合金、铜加工材料及相关产品。</w:t>
      </w:r>
    </w:p>
    <w:p>
      <w:pPr>
        <w:pStyle w:val="ListParagraph"/>
        <w:numPr>
          <w:ilvl w:val="0"/>
          <w:numId w:val="2"/>
        </w:numPr>
        <w:spacing w:after="80" w:line="280"/>
      </w:pPr>
      <w:r>
        <w:rPr>
          <w:sz w:val="22"/>
          <w:szCs w:val="22"/>
        </w:rPr>
        <w:t xml:space="preserve">光通信及网络：2025年收入73.70亿元，占总收入14.04%，毛利率22.58%；覆盖光纤预制棒、光纤、光缆、通信网络产品，以及高速铜缆、空芯光纤、漏缆和数据中心液冷等方向。</w:t>
      </w:r>
    </w:p>
    <w:p>
      <w:pPr>
        <w:pStyle w:val="ListParagraph"/>
        <w:numPr>
          <w:ilvl w:val="0"/>
          <w:numId w:val="2"/>
        </w:numPr>
        <w:spacing w:after="80" w:line="280"/>
      </w:pPr>
      <w:r>
        <w:rPr>
          <w:sz w:val="22"/>
          <w:szCs w:val="22"/>
        </w:rPr>
        <w:t xml:space="preserve">海洋系列：2025年收入63.49亿元，占总收入12.09%，毛利率23.83%；包括海底电力电缆、海底通信电缆、海洋工程装备、海洋管道、海上风电配套产品及相关工程服务。</w:t>
      </w:r>
    </w:p>
    <w:p>
      <w:pPr>
        <w:pStyle w:val="ListParagraph"/>
        <w:numPr>
          <w:ilvl w:val="0"/>
          <w:numId w:val="2"/>
        </w:numPr>
        <w:spacing w:after="80" w:line="280"/>
      </w:pPr>
      <w:r>
        <w:rPr>
          <w:sz w:val="22"/>
          <w:szCs w:val="22"/>
        </w:rPr>
        <w:t xml:space="preserve">新能源：2025年收入56.97亿元，占总收入10.85%，毛利率5.56%；包括光伏组件、光伏辅料及系统部件、光伏电站开发与EPC、储能系统、通信后备电源及氢能相关设备。</w:t>
      </w:r>
    </w:p>
    <w:p>
      <w:pPr>
        <w:pStyle w:val="ListParagraph"/>
        <w:numPr>
          <w:ilvl w:val="0"/>
          <w:numId w:val="2"/>
        </w:numPr>
        <w:spacing w:after="80" w:line="280"/>
      </w:pPr>
      <w:r>
        <w:rPr>
          <w:sz w:val="22"/>
          <w:szCs w:val="22"/>
        </w:rPr>
        <w:t xml:space="preserve">汽车零部件：2025年收入3.25亿元，占总收入0.62%。</w:t>
      </w:r>
    </w:p>
    <w:p>
      <w:pPr>
        <w:pStyle w:val="ListParagraph"/>
        <w:numPr>
          <w:ilvl w:val="0"/>
          <w:numId w:val="2"/>
        </w:numPr>
        <w:spacing w:after="80" w:line="280"/>
      </w:pPr>
      <w:r>
        <w:rPr>
          <w:sz w:val="22"/>
          <w:szCs w:val="22"/>
        </w:rPr>
        <w:t xml:space="preserve">其他：2025年收入5.40亿元，占总收入1.03%。</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中天科技处于通信、电力和海洋能源产业链的中游制造及系统集成环节。公司以电网建设为规模基础，以光通信和海缆为技术与工程壁垒，并向新能源、储能及海外市场延伸；不是拥有矿产资源的上游资源型企业，也不是依靠品牌溢价的下游消费企业。</w:t>
      </w:r>
    </w:p>
    <w:p>
      <w:pPr>
        <w:pStyle w:val="ListParagraph"/>
        <w:numPr>
          <w:ilvl w:val="0"/>
          <w:numId w:val="2"/>
        </w:numPr>
        <w:spacing w:after="80" w:line="280"/>
      </w:pPr>
      <w:r>
        <w:rPr>
          <w:sz w:val="22"/>
          <w:szCs w:val="22"/>
        </w:rPr>
        <w:t xml:space="preserve">电网建设、输电导线、陆缆和海缆主要使用铜、铝、钢丝、绝缘材料、护套材料、填充材料及其他金属和高分子材料；光纤预制棒和光纤业务需要石英材料、特种化学气体及相关光学制造材料。</w:t>
      </w:r>
    </w:p>
    <w:p>
      <w:pPr>
        <w:pStyle w:val="ListParagraph"/>
        <w:numPr>
          <w:ilvl w:val="0"/>
          <w:numId w:val="2"/>
        </w:numPr>
        <w:spacing w:after="80" w:line="280"/>
      </w:pPr>
      <w:r>
        <w:rPr>
          <w:sz w:val="22"/>
          <w:szCs w:val="22"/>
        </w:rPr>
        <w:t xml:space="preserve">新能源、储能及通信电源业务需要电芯、正负极材料、隔膜、电解液、光伏电池片、胶膜、支架、逆变器和电力电子元件；汽车零部件业务使用金属件、塑料件、电子元器件及相关加工材料。</w:t>
      </w:r>
    </w:p>
    <w:p>
      <w:pPr>
        <w:pStyle w:val="ListParagraph"/>
        <w:numPr>
          <w:ilvl w:val="0"/>
          <w:numId w:val="2"/>
        </w:numPr>
        <w:spacing w:after="80" w:line="280"/>
      </w:pPr>
      <w:r>
        <w:rPr>
          <w:sz w:val="22"/>
          <w:szCs w:val="22"/>
        </w:rPr>
        <w:t xml:space="preserve">2025年直接材料占各业务成本的比例分别为：光通信及网络78.34%、电力传输91.77%、海洋系列87.60%、新能源86.65%、铜产品97.68%，显示公司整体对材料成本较为敏感。</w:t>
      </w:r>
    </w:p>
    <w:p>
      <w:pPr>
        <w:pStyle w:val="ListParagraph"/>
        <w:numPr>
          <w:ilvl w:val="0"/>
          <w:numId w:val="2"/>
        </w:numPr>
        <w:spacing w:after="80" w:line="280"/>
      </w:pPr>
      <w:r>
        <w:rPr>
          <w:sz w:val="22"/>
          <w:szCs w:val="22"/>
        </w:rPr>
        <w:t xml:space="preserve">铜产品和普通电缆更接近大宗商品加工模式，公司对铜价及基础材料价格的控制力有限，主要通过原材料价格联动、套期保值和库存管理降低波动；海缆、高压电缆、特种光纤和高端输电材料因存在认证、技术、工程交付和设备壁垒，成本转嫁能力及产品溢价能力相对更强。</w:t>
      </w:r>
    </w:p>
    <w:p>
      <w:pPr>
        <w:pStyle w:val="ListParagraph"/>
        <w:numPr>
          <w:ilvl w:val="0"/>
          <w:numId w:val="2"/>
        </w:numPr>
        <w:spacing w:after="80" w:line="280"/>
      </w:pPr>
      <w:r>
        <w:rPr>
          <w:sz w:val="22"/>
          <w:szCs w:val="22"/>
        </w:rPr>
        <w:t xml:space="preserve">公司年报未对全部原材料按品类逐一披露，上述材料类别为根据产品构成、年报成本结构及相关制造工艺归纳，不能据此推导具体供应商集中度。</w:t>
      </w:r>
    </w:p>
    <w:p>
      <w:pPr>
        <w:pStyle w:val="ListParagraph"/>
        <w:numPr>
          <w:ilvl w:val="0"/>
          <w:numId w:val="2"/>
        </w:numPr>
        <w:spacing w:after="80" w:line="280"/>
      </w:pPr>
      <w:r>
        <w:rPr>
          <w:sz w:val="22"/>
          <w:szCs w:val="22"/>
        </w:rPr>
        <w:t xml:space="preserve">2025年前五名供应商采购额173.48亿元，占年度采购总额38.36%；其中关联方采购额16.10亿元，占年度采购总额3.56%。公司年报未认定存在对单一供应商的严重依赖。</w:t>
      </w:r>
    </w:p>
    <w:p>
      <w:pPr>
        <w:pStyle w:val="ListParagraph"/>
        <w:numPr>
          <w:ilvl w:val="0"/>
          <w:numId w:val="2"/>
        </w:numPr>
        <w:spacing w:after="80" w:line="280"/>
      </w:pPr>
      <w:r>
        <w:rPr>
          <w:sz w:val="22"/>
          <w:szCs w:val="22"/>
        </w:rPr>
        <w:t xml:space="preserve">主要客户包括国家电网及南方电网体系、各类电力建设单位和输变电工程总包商，中国电信、中国移动、中国联通、中国铁塔及数据中心客户，海上风电开发商、海洋工程企业、跨海输电项目业主，以及海外电网公司、通信运营商、工程承包商和工业客户。</w:t>
      </w:r>
    </w:p>
    <w:p>
      <w:pPr>
        <w:pStyle w:val="ListParagraph"/>
        <w:numPr>
          <w:ilvl w:val="0"/>
          <w:numId w:val="2"/>
        </w:numPr>
        <w:spacing w:after="80" w:line="280"/>
      </w:pPr>
      <w:r>
        <w:rPr>
          <w:sz w:val="22"/>
          <w:szCs w:val="22"/>
        </w:rPr>
        <w:t xml:space="preserve">下游整体具有组织化、集中采购、项目制、招投标制和供应商认证制特征；电网、运营商及海上风电客户重视产品质量、交付能力、历史业绩和售后服务，但客户规模大、采购集中，也会带来较强的价格谈判和回款周期压力。</w:t>
      </w:r>
    </w:p>
    <w:p>
      <w:pPr>
        <w:pStyle w:val="ListParagraph"/>
        <w:numPr>
          <w:ilvl w:val="0"/>
          <w:numId w:val="2"/>
        </w:numPr>
        <w:spacing w:after="80" w:line="280"/>
      </w:pPr>
      <w:r>
        <w:rPr>
          <w:sz w:val="22"/>
          <w:szCs w:val="22"/>
        </w:rPr>
        <w:t xml:space="preserve">2025年前五名客户销售额157.79亿元，占年度销售总额30.31%。该数据为2025年度口径；研究纪要未提供其他年度可交叉比较的客户集中度数据，且年报未完整列示前五名客户名称，因此无法据此判断具体客户依赖对象。</w:t>
      </w:r>
    </w:p>
    <w:p>
      <w:pPr>
        <w:pStyle w:val="ListParagraph"/>
        <w:numPr>
          <w:ilvl w:val="0"/>
          <w:numId w:val="2"/>
        </w:numPr>
        <w:spacing w:after="80" w:line="280"/>
      </w:pPr>
      <w:r>
        <w:rPr>
          <w:sz w:val="22"/>
          <w:szCs w:val="22"/>
        </w:rPr>
        <w:t xml:space="preserve">2025年单一客户销售比例未超过50%，公司年报未认定存在对单一客户的严重依赖。电缆、海缆和光通信高端产品的认证及工程壁垒有助于改善供应商议价地位，但普通电缆、铜产品和部分新能源产品仍受大宗商品价格、招投标价格及项目竞争影响。</w:t>
      </w:r>
    </w:p>
    <w:p>
      <w:pPr>
        <w:pStyle w:val="ListParagraph"/>
        <w:numPr>
          <w:ilvl w:val="0"/>
          <w:numId w:val="2"/>
        </w:numPr>
        <w:spacing w:after="80" w:line="280"/>
      </w:pPr>
      <w:r>
        <w:rPr>
          <w:sz w:val="22"/>
          <w:szCs w:val="22"/>
        </w:rPr>
        <w:t xml:space="preserve">海缆行业公开市场份额数据主要来自券商、产业研究机构或行业媒体，不同来源可能按中标额、收入、产能或高压海缆细分市场统计，研究纪要未提供可作为公司官方确认的精确份额。</w:t>
      </w:r>
    </w:p>
    <w:p>
      <w:pPr>
        <w:pStyle w:val="ListParagraph"/>
        <w:numPr>
          <w:ilvl w:val="0"/>
          <w:numId w:val="2"/>
        </w:numPr>
        <w:spacing w:after="80" w:line="280"/>
      </w:pPr>
      <w:r>
        <w:rPr>
          <w:sz w:val="22"/>
          <w:szCs w:val="22"/>
        </w:rPr>
        <w:t xml:space="preserve">截至2025年12月31日，公司应收账款余额151.98亿元，坏账准备8.38亿元；2025年应收账款周转率为3.61次，按365天简单折算，应收账款周转天数约101天。期末存货账面价值78.44亿元，同比增长37.15%，主要由于在手订单增加、原材料、库存商品和在产品余额增加；预付款项5.09亿元，同比下降30.06%；应付票据65.28亿元，同比增长34.12%。上述数据表明公司存在明显项目制回款和制造业库存占用，虽在高压电缆、海缆及特种光纤等产品上具备一定议价能力，但整体并非强现金流、强下游议价型企业。</w:t>
      </w:r>
    </w:p>
    <w:p>
      <w:pPr>
        <w:pStyle w:val="ListParagraph"/>
        <w:numPr>
          <w:ilvl w:val="0"/>
          <w:numId w:val="2"/>
        </w:numPr>
        <w:spacing w:after="80" w:line="280"/>
      </w:pPr>
      <w:r>
        <w:rPr>
          <w:sz w:val="22"/>
          <w:szCs w:val="22"/>
        </w:rPr>
        <w:t xml:space="preserve">2025年度前五名客户销售额占比为30.31%，前五名供应商采购额占比为38.36%；前五名供应商中关联方采购占年度采购总额3.56%。上述集中度数据仅提供2025年度口径，研究纪要未提供其他年度数据用于交叉核实；公开年报未完整列示相关客户和供应商名称，因此无法判断具体依赖对象。</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2022年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约18.28%</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约8.48%</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受能源网络、通信网络及新能源业务恢复影响，整体盈利能力处于较高水平；但当年业务结构和会计口径与后续年份不完全一致，不能机械比较。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2023年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约16.22%</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约7.19%</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毛利率和净利率均较2022年下降，主要与海洋板块交付结构变化、海洋业务收入下滑及部分业务利润率下降有关；电网建设、新能源收入增长部分抵消拖累。</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2024年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约14.39%</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约5.89%</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新能源价格竞争、原材料成本和业务结构变化共同压低利润率；制造业毛利率为14.07%，新能源毛利率降至7.32%，铜产品毛利率降至2.48%，光通信和海洋系列毛利率也出现不同程度下降。</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约13.88%</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约5.59%</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制造业毛利率为13.55%，较2024年下降0.52个百分点。海洋业务收入恢复增长但受材料成本和交付结构影响，毛利率略低于2024年；新能源和铜产品低毛利继续拖累整体利润率，光通信业务仍处于结构调整期。</w:t>
            </w:r>
          </w:p>
        </w:tc>
      </w:tr>
    </w:tbl>
    <w:p>
      <w:pPr>
        <w:spacing w:before="200"/>
      </w:pPr>
    </w:p>
    <w:p>
      <w:pPr>
        <w:spacing w:after="160" w:line="300"/>
      </w:pPr>
      <w:r>
        <w:rPr>
          <w:sz w:val="22"/>
          <w:szCs w:val="22"/>
        </w:rPr>
        <w:t xml:space="preserve">公司整体位于产业链中游制造及系统集成环节，铜产品、普通电缆和部分新能源业务偏中游规模制造、利润率较薄；海缆、高压电缆、特种光纤和高速铜缆向高附加值环节延伸。进一步改善利润率主要依靠提升高技术产品收入占比、海外电网和通信认证带来的溢价及订单质量改善、新能源和储能业务的项目选择与成本控制、原材料价格联动和库存管理，以及缩短应收账款周转周期。</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2026年上半年（1—6月）</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309.39亿元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同比增长31.10%</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归属于上市公司股东的净利润23.87亿元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同比增长52.29%</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2025年度</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525.00亿元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同比增长约9.24%—9.25%</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归属于上市公司股东的净利润29.02亿元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同比增长约2.25%—2.27%</w:t>
            </w:r>
          </w:p>
        </w:tc>
      </w:tr>
    </w:tbl>
    <w:p>
      <w:pPr>
        <w:spacing w:after="200"/>
      </w:pPr>
      <w:r>
        <w:rPr>
          <w:i/>
          <w:iCs/>
          <w:color w:val="595959"/>
          <w:sz w:val="18"/>
          <w:szCs w:val="18"/>
        </w:rPr>
        <w:t xml:space="preserve">2026年半年度报告于2026年8月28日披露，未经审计。2026年上半年扣除非经常性损益后的归母净利润为22.12亿元，同比增加50.72%；经营活动产生的现金流量净额为1.48亿元，上年同期为净流出18.56亿元；基本每股收益为0.704元，同比增加52.38%。2025年扣非归母净利润为27.07亿元，同比增长6.37%。</w:t>
      </w:r>
    </w:p>
    <w:p>
      <w:pPr>
        <w:spacing w:after="160" w:line="300"/>
      </w:pPr>
      <w:r>
        <w:rPr>
          <w:sz w:val="22"/>
          <w:szCs w:val="22"/>
        </w:rPr>
        <w:t xml:space="preserve">2026年上半年收入和利润增速明显加快，归母净利润增速高于收入增速。纪要将盈利改善主要归因于光纤光缆价格及盈利能力改善、高压海缆项目交付，以及AI算力相关光通信需求增长。2026年一季度营业收入约131.42亿元、归母净利润约9.19亿元；二季度收入约177.97亿元、归母净利润约14.79亿元。2026年上半年综合毛利率为16.48%，同比提升1.41个百分点，二季度毛利率为17.14%。</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预测数据截至2026年9月8日—9月10日前后，由同花顺汇总约9家机构的券商研报摘录形成，不是公司业绩指引，也不属于正式披露财务数据。归母净利润预测区间：2026年46.57—76.37亿元，2027年63.76—110.89亿元，2028年74.25—133.87亿元。代表性机构预测包括：华泰证券（2026年9月3日）预计2026—2028年归母净利润为73.55亿元、110.89亿元、133.87亿元，EPS为2.15元、3.25元、3.92元；华创证券（2026年9月2日）预计为61.12亿元、72.97亿元、82.16亿元，EPS为1.79元、2.14元、2.41元；招商证券（2026年8月28日）预计为60.04亿元、67.79亿元、74.25亿元，EPS为1.76元、1.99元、2.18元；西部证券（2026年4月28日）预计为63.80亿元、70.45亿元、75.54亿元，EPS为1.87元、2.06元、2.21元；中国银河（2026年4月10日）预计2026—2027年归母净利润为46.57亿元、63.76亿元，EPS为1.36元、1.87元。</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机构平均预测约643.03亿元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机构平均预测约64.47亿元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较2025年实际归母净利润增长约122%</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机构平均预测约1.89元；预测区间为1.36—2.24元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机构平均预测约739.36亿元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机构平均预测约82.03亿元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纪要未提供相对上一年的平均预测增速</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机构平均预测约2.40元；预测区间为1.87—3.25元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机构平均预测约768.83亿元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机构平均预测约95.84亿元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纪要未提供相对上一年的平均预测增速</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机构平均预测约2.81元；预测区间为2.18—3.92元</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华泰证券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2026年9月3日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预计2026年目标价45.25元/股，采用2026年21倍预期市盈率</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华创证券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2026年9月2日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纪要未提供目标价</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招商证券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2026年8月28日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纪要未提供目标价</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中金公司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未明确</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2026年8月31日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研报关注AI光通信及高压海缆</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长江证券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未明确</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2026年9月6日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研报主题为“光电智连与高压海缆共振，Q2业绩创新高”</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西部证券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2026年4月28日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纪要未提供目标价</w:t>
            </w:r>
          </w:p>
        </w:tc>
      </w:tr>
    </w:tbl>
    <w:p>
      <w:pPr>
        <w:spacing w:before="200"/>
      </w:pPr>
    </w:p>
    <w:p>
      <w:pPr>
        <w:spacing w:after="160" w:line="300"/>
      </w:pPr>
      <w:r>
        <w:rPr>
          <w:sz w:val="22"/>
          <w:szCs w:val="22"/>
        </w:rPr>
        <w:t xml:space="preserve">截至2026年9月10日收盘，股价约33.30元/股，总市值约1136.5亿元。不同数据源显示的估值指标存在差异：动态PE约39.17倍、静态PE约49.61倍、PB约3.79倍；另一数据源显示PE约31.29倍、PB约2.96倍，差异可能来自报告期、扣非口径、总股本及财务数据更新时间不同。按机构平均预测计算，33.30元股价对应2026年预期PE约17.6倍；按华泰证券2026年EPS 2.15元计算，对应预期PE约15.5倍；按招商证券2026年EPS 1.76元计算，对应预期PE约18.9倍。华泰证券目标价为45.25元/股，较33.30元上涨空间约35.9%；华泰证券此前于2026年5月1日给出的目标价为49.05元/股，估值方法为2026年22.75倍PE。另有较早的近六个月机构目标价汇总区间约为26.40—49.05元/股，平均目标价约37.73元/股，但不确定是否已完全纳入2026年9月最新研报。总体看，按2025年实际利润计算的静态PE约40—50倍，估值不低；按2026年机构盈利预测计算的预期PE约15.5—18.9倍，估值明显下降。当前估值能否消化取决于光纤光缆价格、订单交付节奏、海上风电项目进度及AI通信需求能否兑现。机构预测区间较大，2026年归母净利润最高预测与最低预测相差约64%，且2026年半年度报告未经审计，后续审计调整可能导致部分指标变化。</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2026年9月最新公告</w:t>
      </w:r>
    </w:p>
    <w:p>
      <w:pPr>
        <w:spacing w:after="160" w:line="300"/>
      </w:pPr>
      <w:r>
        <w:rPr>
          <w:sz w:val="22"/>
          <w:szCs w:val="22"/>
        </w:rPr>
        <w:t xml:space="preserve">截至2026年9月11日，中天科技披露的主要公告包括：2026年9月2日披露《关于第六期以集中竞价交易方式股份回购进展公告》及《关于召开2026年半年度业绩说明会的公告》。截至目前，公开公告列表中暂未发现2026年9月3日至9月11日期间新的重大并购、股东增减持、监管处罚或业绩预告类公告；该结论基于公开公告列表检索，不能排除部分第三方数据库同步不及时的可能性。</w:t>
      </w:r>
    </w:p>
    <w:p>
      <w:pPr>
        <w:pStyle w:val="Heading2"/>
        <w:spacing w:after="120" w:before="240"/>
      </w:pPr>
      <w:r>
        <w:rPr>
          <w:b/>
          <w:bCs/>
          <w:color w:val="2E74B5"/>
          <w:sz w:val="24"/>
          <w:szCs w:val="24"/>
        </w:rPr>
        <w:t xml:space="preserve">4.2 2026年半年度业绩预增及兑现</w:t>
      </w:r>
    </w:p>
    <w:p>
      <w:pPr>
        <w:spacing w:after="160" w:line="300"/>
      </w:pPr>
      <w:r>
        <w:rPr>
          <w:sz w:val="22"/>
          <w:szCs w:val="22"/>
        </w:rPr>
        <w:t xml:space="preserve">公司于2026年7月15日预计2026年上半年归属于上市公司股东的净利润为23.51595亿元至25.08368亿元，同比增长50%至60%；预计扣除非经常性损益后的净利润为21.54595亿元至23.11368亿元，同比增长46.78%至57.46%。2026年8月28日披露的半年度报告显示，报告期内归母净利润约23.87亿元，同比增长52.29%，基本处于此前业绩预告区间中部，业绩预增已基本兑现。业绩增长主要受AI算力和数字新基建落地、光纤光缆需求增长及行业供需改善等因素推动，同时包含政府补助、资产处置收益等非经常性因素。</w:t>
      </w:r>
    </w:p>
    <w:p>
      <w:pPr>
        <w:pStyle w:val="Heading2"/>
        <w:spacing w:after="120" w:before="240"/>
      </w:pPr>
      <w:r>
        <w:rPr>
          <w:b/>
          <w:bCs/>
          <w:color w:val="2E74B5"/>
          <w:sz w:val="24"/>
          <w:szCs w:val="24"/>
        </w:rPr>
        <w:t xml:space="preserve">4.3 第六期股份回购方案及进展</w:t>
      </w:r>
    </w:p>
    <w:p>
      <w:pPr>
        <w:spacing w:after="160" w:line="300"/>
      </w:pPr>
      <w:r>
        <w:rPr>
          <w:sz w:val="22"/>
          <w:szCs w:val="22"/>
        </w:rPr>
        <w:t xml:space="preserve">第六期股份回购方案首次披露日为2026年3月31日，回购期限为2026年3月31日至2027年3月30日，预计回购资金总额为2亿元至4亿元，回购股份拟用于员工持股计划或股权激励，不用于注销。原回购价格上限为40元/股，因实施2025年度利润分配方案，自2026年7月15日起调整为不超过39.74元/股；按调整后的价格上限测算，预计回购数量约为503.3万股至1007万股。</w:t>
      </w:r>
    </w:p>
    <w:p>
      <w:pPr>
        <w:pStyle w:val="Heading2"/>
        <w:spacing w:after="120" w:before="240"/>
      </w:pPr>
      <w:r>
        <w:rPr>
          <w:b/>
          <w:bCs/>
          <w:color w:val="2E74B5"/>
          <w:sz w:val="24"/>
          <w:szCs w:val="24"/>
        </w:rPr>
        <w:t xml:space="preserve">4.4 截至2026年8月底的回购执行情况</w:t>
      </w:r>
    </w:p>
    <w:p>
      <w:pPr>
        <w:spacing w:after="160" w:line="300"/>
      </w:pPr>
      <w:r>
        <w:rPr>
          <w:sz w:val="22"/>
          <w:szCs w:val="22"/>
        </w:rPr>
        <w:t xml:space="preserve">截至2026年8月31日，公司累计回购股份200.13万股，占公司总股本的0.0586%；累计支付金额5953.67万元，成交价格区间为27.59元/股至34.65元/股。按金额计算，已完成回购金额约占回购资金下限的29.8%、上限的14.9%；按数量计算，已完成回购数量约占预计回购数量下限的39.8%、上限的19.9%。回购仍处于实施阶段，公司表示将根据市场情况择机继续实施回购并按规定披露进展。</w:t>
      </w:r>
    </w:p>
    <w:p>
      <w:pPr>
        <w:pStyle w:val="Heading2"/>
        <w:spacing w:after="120" w:before="240"/>
      </w:pPr>
      <w:r>
        <w:rPr>
          <w:b/>
          <w:bCs/>
          <w:color w:val="2E74B5"/>
          <w:sz w:val="24"/>
          <w:szCs w:val="24"/>
        </w:rPr>
        <w:t xml:space="preserve">4.5 股东户数及主要股东变动</w:t>
      </w:r>
    </w:p>
    <w:p>
      <w:pPr>
        <w:spacing w:after="160" w:line="300"/>
      </w:pPr>
      <w:r>
        <w:rPr>
          <w:sz w:val="22"/>
          <w:szCs w:val="22"/>
        </w:rPr>
        <w:t xml:space="preserve">截至2026年6月30日，公司A股股东户数为818,106户，较2026年3月31日的226,221户增加591,885户，环比增长261.64%；同期人均流通股约4171.77股，较上一期下降72.35%。截至2026年6月30日，中天科技集团有限公司持股774,117,883股，占总股本22.68%，持股数量未发生变化；香港中央结算有限公司持股302,478,127股，占8.86%，报告期内增加64,458,541股；国泰中证全指通信设备ETF持股51,568,128股，占1.51%，增加31,780,899股；华夏中证电网设备主题ETF持股46,121,200股，占1.35%，增加35,350,300股。上述持仓数据截至2026年6月30日，不代表2026年9月最新状态。当前检索未发现2026年9月新增的控股股东增持、减持或权益变动公告。</w:t>
      </w:r>
    </w:p>
    <w:p>
      <w:pPr>
        <w:pStyle w:val="Heading2"/>
        <w:spacing w:after="120" w:before="240"/>
      </w:pPr>
      <w:r>
        <w:rPr>
          <w:b/>
          <w:bCs/>
          <w:color w:val="2E74B5"/>
          <w:sz w:val="24"/>
          <w:szCs w:val="24"/>
        </w:rPr>
        <w:t xml:space="preserve">4.6 第三期员工持股计划解锁</w:t>
      </w:r>
    </w:p>
    <w:p>
      <w:pPr>
        <w:spacing w:after="160" w:line="300"/>
      </w:pPr>
      <w:r>
        <w:rPr>
          <w:sz w:val="22"/>
          <w:szCs w:val="22"/>
        </w:rPr>
        <w:t xml:space="preserve">公司于2026年8月28日披露，第三期员工持股计划第一个锁定期已于2026年8月4日届满，解锁条件已经成就。本次可解锁股票数量为595.20万股，占公司总股本约0.17%，涉及符合解锁条件的持有人79人；解锁后剩余未解锁股票为927.80万股，占公司总股本约0.27%。公司层面考核目标已实现100%解锁，个人层面仍按照个人绩效考核结果确定具体解锁比例。</w:t>
      </w:r>
    </w:p>
    <w:p>
      <w:pPr>
        <w:pStyle w:val="Heading2"/>
        <w:spacing w:after="120" w:before="240"/>
      </w:pPr>
      <w:r>
        <w:rPr>
          <w:b/>
          <w:bCs/>
          <w:color w:val="2E74B5"/>
          <w:sz w:val="24"/>
          <w:szCs w:val="24"/>
        </w:rPr>
        <w:t xml:space="preserve">4.7 2026年半年度业绩说明会</w:t>
      </w:r>
    </w:p>
    <w:p>
      <w:pPr>
        <w:spacing w:after="160" w:line="300"/>
      </w:pPr>
      <w:r>
        <w:rPr>
          <w:sz w:val="22"/>
          <w:szCs w:val="22"/>
        </w:rPr>
        <w:t xml:space="preserve">公司于2026年9月2日公告，计划于2026年9月10日15:00至16:00在上海证券交易所上证路演中心举行2026年半年度业绩说明会，参加人员包括董事长薛驰、总经理陆伟、财务负责人高洪时及董事会秘书胡梓木等。本次说明会主要围绕2026年半年度经营成果和财务指标与投资者进行网络互动。纪要未提供说明会后新增经营指引或订单信息。</w:t>
      </w:r>
    </w:p>
    <w:p>
      <w:pPr>
        <w:pStyle w:val="Heading2"/>
        <w:spacing w:after="120" w:before="240"/>
      </w:pPr>
      <w:r>
        <w:rPr>
          <w:b/>
          <w:bCs/>
          <w:color w:val="2E74B5"/>
          <w:sz w:val="24"/>
          <w:szCs w:val="24"/>
        </w:rPr>
        <w:t xml:space="preserve">4.8 重大诉讼及潜在监管风险</w:t>
      </w:r>
    </w:p>
    <w:p>
      <w:pPr>
        <w:spacing w:after="160" w:line="300"/>
      </w:pPr>
      <w:r>
        <w:rPr>
          <w:sz w:val="22"/>
          <w:szCs w:val="22"/>
        </w:rPr>
        <w:t xml:space="preserve">2026年半年度报告披露，江苏苏豪中锦发展有限公司因合同纠纷向公司提起诉讼，请求撤销相关合同、返还已支付款项约4.98亿元并支付利息约0.98亿元，利息暂计至2026年6月30日，合计涉诉金额约5.96亿元。2026年4月，南京市中级人民法院裁定撤销一审驳回起诉裁定并指令继续审理；2026年6月案件重新立案，目前处于一审审理阶段，尚未判决，公司披露该事项目前未形成预计负债。半年度报告同时披露，公司及相关董事、高级管理人员、控股股东、实际控制人不存在涉嫌违法违规、受到处罚及整改情况。</w:t>
      </w:r>
    </w:p>
    <w:p>
      <w:pPr>
        <w:pStyle w:val="Heading2"/>
        <w:spacing w:after="120" w:before="240"/>
      </w:pPr>
      <w:r>
        <w:rPr>
          <w:b/>
          <w:bCs/>
          <w:color w:val="2E74B5"/>
          <w:sz w:val="24"/>
          <w:szCs w:val="24"/>
        </w:rPr>
        <w:t xml:space="preserve">4.9 并购及重大资产重组情况</w:t>
      </w:r>
    </w:p>
    <w:p>
      <w:pPr>
        <w:spacing w:after="160" w:line="300"/>
      </w:pPr>
      <w:r>
        <w:rPr>
          <w:sz w:val="22"/>
          <w:szCs w:val="22"/>
        </w:rPr>
        <w:t xml:space="preserve">截至2026年9月11日，未检索到中天科技在2026年9月披露新的重大并购、重大资产收购、重大资产出售或重大资产重组公告。公司2026年半年度报告未显示报告期内存在新增重大资产收购或股权收购事项。由于半年报数据截至2026年6月30日，2026年7月至9月的临时公告仍需持续跟踪。</w:t>
      </w:r>
    </w:p>
    <w:p>
      <w:pPr>
        <w:pStyle w:val="Heading2"/>
        <w:spacing w:after="120" w:before="240"/>
      </w:pPr>
      <w:r>
        <w:rPr>
          <w:b/>
          <w:bCs/>
          <w:color w:val="2E74B5"/>
          <w:sz w:val="24"/>
          <w:szCs w:val="24"/>
        </w:rPr>
        <w:t xml:space="preserve">4.10 近期消息综合判断</w:t>
      </w:r>
    </w:p>
    <w:p>
      <w:pPr>
        <w:spacing w:after="160" w:line="300"/>
      </w:pPr>
      <w:r>
        <w:rPr>
          <w:sz w:val="22"/>
          <w:szCs w:val="22"/>
        </w:rPr>
        <w:t xml:space="preserve">偏积极因素包括：2026年上半年归母净利润同比增长52.29%，业绩预增已基本兑现；公司继续实施2亿元至4亿元股份回购；香港中央结算有限公司及部分通信、电网设备ETF在2026年上半年增持；AI算力、数字新基建和光纤光缆供需改善是业绩增长的重要驱动。需要关注的因素包括：二季度股东户数大幅增加、筹码分散可能加大股价波动；第三期员工持股计划已有595.20万股达到解锁条件，后续实际处置可能形成短期供给压力；约5.96亿元合同纠纷诉讼尚未判决且未计提预计负债；利润增长中包含政府补助、资产处置收益等非经常性因素；回购尚未完成，员工持股或股权激励的具体实施方案仍需后续公告确认。</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34.49元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当日涨跌</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上涨1.19元，涨幅3.57%</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当日开盘/最高/最低</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32.66元/34.56元/32.66元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成交量</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约265.52百万股，即约265.52万手</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成交额</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约89.84亿元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换手率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7.78%</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总股本/总市值</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约34.13亿股/约1177.13亿元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估值</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动态市盈率PE（TTM）约31.63倍，扣非市盈率约34.10倍，市净率约2.99倍</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52周价格区间</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15.35~68.10元；未获得高低点具体发生日期</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近期价格走势</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2026年9月4日收盘31.70元，9月11日收盘34.49元；9月9日上涨4.95%，9月10日下跌2.40%，9月11日上涨3.57%</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股价自9月4日低点反弹，但仍处于8月27日至9月1日形成的34.0~36.4元成交密集及震荡区域内，当前更接近低位反弹后的技术确认阶段，尚不能仅凭两日反弹确认中期趋势反转</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MA5/MA10/MA20/MA50/MA100</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MA5为33.61元，MA10为33.52元，MA20为33.45元，MA50为33.44元，MA100为33.73元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收盘价34.49元已站上上述主要短中期均线，均线密集区约为33.44~33.73元；仍需观察能否连续站稳34.3~34.7元，以及MA5、MA10能否继续向上</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MA200</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标准MA200约32.75元；指数均线约35.34元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标准MA200可作为较远的中长期下方参考支撑；技术页面部分数据可能存在盘后或延迟刷新，不宜视为交易所官方指标</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MACD（12，26）</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约0.06，页面信号为买入；DIF、DEA及柱体完整原始数值未披露</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MACD由负转正或接近零轴，短线动能较此前有所修复，但数值仍接近零轴，反弹动能尚不算强；若后续跌回33.2~33.5元且MACD重新转负，短线修复可能失败</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RSI（14）</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60.734，页面信号为买入</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短线强弱已偏向多方</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STOCHRSI（14）</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95.568</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处于超买区域，表明短线反弹速度较快，后续出现震荡或回踩的可能性上升</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RSI6</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可靠来源未查到与2026年9月11日收盘严格对应的数值</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不对该指标进行主观估算或替代</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布林带</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基于近20个交易日收盘价自行估算：中轨约33.75元，上轨约36.18元，下轨约31.32元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34.49元位于估算中轨上方、上轨下方；36元上下同时接近近期高点及估算上轨，存在压力。上述数据为估算值，可能受复权方式、样本标准差及参数差异影响</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主力资金流向</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9月10日主力资金净流出约5.86亿元；9月11日超大单净流入约6.69亿元、大单净流入约2388万元，中单净流出约1.17亿元、小单净流出约5.76亿元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资金面由9月10日明显偏弱转为9月11日短线修复，但资金流向为主动买卖单及成交规模推算指标，不等同于真实机构持仓变化，单日波动较大，尚不能单独确认趋势反转</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近期换手率</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9月7日3.70%，9月8日4.31%，9月9日7.75%，9月10日3.75%，9月11日7.78%</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近期成交额和换手率高于9月7日至9月8日，短线参与度及筹码交换较活跃；若高换手无法推动股价持续站稳34.5~35元，也可能反映上方抛压</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股东集中度</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根据公司2026年半年度报告，截至2026年6月30日，前十大股东合计持股约37.25%；中天科技集团有限公司持股22.68%，香港中央结算有限公司持股8.86%</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前十大股东中包含香港中央结算、ETF、公募基金和社保基金等机构或机构通道持有人；该数据距2026年9月11日约两个半月，当前实际持仓结构可能已变化，尤其香港中央结算和ETF持仓可能随市场交易变动</w:t>
            </w:r>
          </w:p>
        </w:tc>
      </w:tr>
    </w:tbl>
    <w:p>
      <w:pPr>
        <w:spacing w:before="200"/>
      </w:pPr>
    </w:p>
    <w:p>
      <w:pPr>
        <w:spacing w:after="160" w:line="300"/>
      </w:pPr>
      <w:r>
        <w:rPr>
          <w:sz w:val="22"/>
          <w:szCs w:val="22"/>
        </w:rPr>
        <w:t xml:space="preserve">截至2026年9月11日，股价收于34.49元，重新站上MA5、MA10、MA20、MA50和MA100，RSI（14）回升至60.734，MACD约0.06，显示短线动能较此前修复。但STOCHRSI（14）为95.568，处于超买区域，且股价仍位于34.0~36.4元成交密集及震荡区域内。9月11日成交额约89.84亿元、换手率7.78%，并伴随超大单明显净流入，但近几日资金流向高波动、快进快出，暂不能确认持续性回流。整体看，当前更接近低位反弹后的技术确认阶段，后续重点观察34.3~34.7元压力区、33.2~33.6元第一支撑区及32.1~32.6元强支撑区的有效突破或失守情况。</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风险提示：以下内容仅为基于截至2026年9月11日收盘数据的主观情景推演，不构成投资建议，也不代表对未来价格的确定性预测。</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34.3~34.7元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对应9月11日高点34.56元、经典枢轴R1约34.28元及DeMark压力位约34.48元。若放量有效站稳34.7元，下一观察区域可上移至35.3~36.2元，接近近期高点36.39元及估算布林上轨</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33.2~33.6元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覆盖MA5、MA10、MA20约33.45~33.61元，并接近经典枢轴位33.60元及S1约33.20元。若回踩后缩量企稳，短线反弹结构尚未被破坏；若失守，则需关注32.1~32.6元强支撑</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32.1~32.6元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对应9月4日至9月8日低位震荡区间、9月8日低点32.32元以及经典枢轴S2约32.52元、S3约32.12元。若有效跌破32.1元，短线可能进一步考验31.3~31.7元，接近近期低点31.31元及估算布林下轨</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主观启发式权重相对较高，约五成至六成；不是统计概率）：价格区间约33.2~35.0元。触发条件为股价守住33.2~33.6元支撑，但无法持续突破34.7元；成交量回落至近期正常水平，市场围绕34元附近反复换手。该判断基于股价重新站上短期均线，但资金流向波动较大、RSI偏强且STOCHRSI偏高</w:t>
      </w:r>
    </w:p>
    <w:p>
      <w:pPr>
        <w:pStyle w:val="ListParagraph"/>
        <w:numPr>
          <w:ilvl w:val="0"/>
          <w:numId w:val="2"/>
        </w:numPr>
        <w:spacing w:after="80" w:line="280"/>
      </w:pPr>
      <w:r>
        <w:rPr>
          <w:sz w:val="22"/>
          <w:szCs w:val="22"/>
        </w:rPr>
        <w:t xml:space="preserve">反弹走强（主观启发式权重中等，约三成；不是统计概率）：价格区间约34.7~36.2元。触发条件为股价放量突破34.7元并连续收盘站稳，单日成交额保持在约90亿元或更高，且主力资金不再连续净流出；若突破后继续站上35.3元，短线可观察36.0~36.2元附近，即前期高点和估算布林上轨区域</w:t>
      </w:r>
    </w:p>
    <w:p>
      <w:pPr>
        <w:pStyle w:val="ListParagraph"/>
        <w:numPr>
          <w:ilvl w:val="0"/>
          <w:numId w:val="2"/>
        </w:numPr>
        <w:spacing w:after="80" w:line="280"/>
      </w:pPr>
      <w:r>
        <w:rPr>
          <w:sz w:val="22"/>
          <w:szCs w:val="22"/>
        </w:rPr>
        <w:t xml:space="preserve">偏弱下行（主观启发式权重偏低至中等，但不能忽略；不是统计概率）：价格区间约31.3~33.2元。触发条件为股价跌破33.2元并伴随成交量放大，或市场及通信、电力设备板块同步走弱；若进一步跌破32.1元，短线反弹结构转弱，可能回探31.3~31.7元区域</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截至2026年9月11日，单日成交额约89.84亿元，换手率7.78%，成交量约265.52万手；近期换手率在3.70%~7.78%之间，9月9日和9月11日均达到约7.75%以上，短期筹码交换较活跃。股东结构方面，根据公司2026年半年度报告，截至2026年6月30日，前十大股东合计持股约37.25%，控股股东中天科技集团有限公司持股22.68%；前十大股东中还包括香港中央结算、国泰中证全指通信设备ETF、华夏中证电网设备主题ETF、富国创新科技混合基金、广发远见智选混合基金及全国社保基金等机构或机构通道持有人。由于股东数据距当前约两个半月，且香港中央结算及ETF持仓可能随市场交易变化，该结构仅作为中期筹码背景，不能替代短线资金流向。当前较高成交额和换手率意味着短线交易参与度较高、筹码交换较充分，价格波动可能维持较高水平；若后续成交额放大但股价反复收在34.3元以下，则需关注放量滞涨或上方抛压。</w:t>
      </w:r>
    </w:p>
    <w:p>
      <w:pPr>
        <w:spacing w:after="160" w:line="300"/>
      </w:pPr>
      <w:r>
        <w:rPr>
          <w:sz w:val="22"/>
          <w:szCs w:val="22"/>
        </w:rPr>
        <w:t xml:space="preserve">可检查的量能确认信号：若后续单日成交额连续达到或超过约90亿元，并且股价同步站稳34.7元上方，可视为短线突破获得成交量配合；若成交额放大但股价反复收在34.3元以下，则需警惕放量滞涨或上方抛压。</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观察34.3~34.7元压力区能否在成交额放大的配合下有效突破；该观察思路不构成操作指令。</w:t>
      </w:r>
    </w:p>
    <w:p>
      <w:pPr>
        <w:pStyle w:val="ListParagraph"/>
        <w:numPr>
          <w:ilvl w:val="0"/>
          <w:numId w:val="2"/>
        </w:numPr>
        <w:spacing w:after="80" w:line="280"/>
      </w:pPr>
      <w:r>
        <w:rPr>
          <w:sz w:val="22"/>
          <w:szCs w:val="22"/>
        </w:rPr>
        <w:t xml:space="preserve">观察33.2~33.6元均线密集区能否支撑回踩；该观察思路不构成操作指令。</w:t>
      </w:r>
    </w:p>
    <w:p>
      <w:pPr>
        <w:pStyle w:val="ListParagraph"/>
        <w:numPr>
          <w:ilvl w:val="0"/>
          <w:numId w:val="2"/>
        </w:numPr>
        <w:spacing w:after="80" w:line="280"/>
      </w:pPr>
      <w:r>
        <w:rPr>
          <w:sz w:val="22"/>
          <w:szCs w:val="22"/>
        </w:rPr>
        <w:t xml:space="preserve">若跌破32.1元，关注31.3~31.7元下一支撑带；该观察思路不构成操作指令。</w:t>
      </w:r>
    </w:p>
    <w:p>
      <w:pPr>
        <w:pStyle w:val="ListParagraph"/>
        <w:numPr>
          <w:ilvl w:val="0"/>
          <w:numId w:val="2"/>
        </w:numPr>
        <w:spacing w:after="80" w:line="280"/>
      </w:pPr>
      <w:r>
        <w:rPr>
          <w:sz w:val="22"/>
          <w:szCs w:val="22"/>
        </w:rPr>
        <w:t xml:space="preserve">关注成交额是否连续达到约90亿元，并与股价站稳34.7元同步；该观察思路不构成操作指令。</w:t>
      </w:r>
    </w:p>
    <w:p>
      <w:pPr>
        <w:spacing w:after="200"/>
      </w:pPr>
      <w:r>
        <w:rPr>
          <w:i/>
          <w:iCs/>
          <w:color w:val="595959"/>
          <w:sz w:val="18"/>
          <w:szCs w:val="18"/>
        </w:rPr>
        <w:t xml:space="preserve">以上情景推演基于2026年9月11日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中天科技横跨电力电缆及输电材料、海底电缆及海洋工程、光纤光缆及通信网络、新能源及储能等多个行业，不能用单一行业框架评价。其共同特征是材料成本占比较高、项目制和集中采购明显，同时高压海缆、柔性直流海缆、特种光纤等高端产品具有较高的技术、认证、设备和工程业绩壁垒。</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电力电缆及输电材料：普通低压及中压电缆参与者众多、价格竞争明显；特高压导线、高压电缆、海缆和柔性直流海缆受到技术、认证、设备、工程经验和区域交付能力限制，集中度高于普通电缆。中天科技2025年电网建设收入222.64亿元，毛利率14.92%，属于规模型制造业务。</w:t>
      </w:r>
    </w:p>
    <w:p>
      <w:pPr>
        <w:pStyle w:val="ListParagraph"/>
        <w:numPr>
          <w:ilvl w:val="0"/>
          <w:numId w:val="2"/>
        </w:numPr>
        <w:spacing w:after="80" w:line="280"/>
      </w:pPr>
      <w:r>
        <w:rPr>
          <w:sz w:val="22"/>
          <w:szCs w:val="22"/>
        </w:rPr>
        <w:t xml:space="preserve">海底电缆及海洋工程：国内高端海缆技术和工程壁垒较高，中天科技、东方电缆和亨通光电属于主要第一梯队企业；汉缆股份、宝胜股份、起帆电缆等也在推进海缆布局。公开研究资料认为头部三家在高压海缆市场占据主要份额，但不同机构统计口径差异较大，不能引用单一来源精确份额作为公司官方数据。</w:t>
      </w:r>
    </w:p>
    <w:p>
      <w:pPr>
        <w:pStyle w:val="ListParagraph"/>
        <w:numPr>
          <w:ilvl w:val="0"/>
          <w:numId w:val="2"/>
        </w:numPr>
        <w:spacing w:after="80" w:line="280"/>
      </w:pPr>
      <w:r>
        <w:rPr>
          <w:sz w:val="22"/>
          <w:szCs w:val="22"/>
        </w:rPr>
        <w:t xml:space="preserve">光纤光缆及通信网络：行业经历运营商集中采购、价格竞争和需求周期波动，传统通信基础设施市场相对成熟；AI算力、数据中心、高速铜缆、空芯光纤和新型光网络产品成为技术方向。中天科技具备“棒—纤—缆”一体化、通信与能源协同及海外扩张优势，但传统光通信收入承压。</w:t>
      </w:r>
    </w:p>
    <w:p>
      <w:pPr>
        <w:pStyle w:val="ListParagraph"/>
        <w:numPr>
          <w:ilvl w:val="0"/>
          <w:numId w:val="2"/>
        </w:numPr>
        <w:spacing w:after="80" w:line="280"/>
      </w:pPr>
      <w:r>
        <w:rPr>
          <w:sz w:val="22"/>
          <w:szCs w:val="22"/>
        </w:rPr>
        <w:t xml:space="preserve">新能源及储能：光伏组件及部分辅材竞争激烈，价格波动和产能过剩压力较大；储能系统市场增长较快，但系统集成商较多，电芯成本、项目招标价格、海外认证和售后能力影响盈利。中天科技具备电缆、储能、光伏EPC和电力系统集成协同能力，但2025年新能源毛利率仅5.56%。</w:t>
      </w:r>
    </w:p>
    <w:p>
      <w:pPr>
        <w:pStyle w:val="ListParagraph"/>
        <w:numPr>
          <w:ilvl w:val="0"/>
          <w:numId w:val="2"/>
        </w:numPr>
        <w:spacing w:after="80" w:line="280"/>
      </w:pPr>
      <w:r>
        <w:rPr>
          <w:sz w:val="22"/>
          <w:szCs w:val="22"/>
        </w:rPr>
        <w:t xml:space="preserve">公司2025年海洋系列收入63.49亿元、毛利率23.83%；光通信及网络收入73.70亿元、毛利率22.58%，是相对高毛利业务；铜产品毛利率2.17%，新能源毛利率5.56%，对整体利润率形成拖累。</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亨通光电（600487）</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覆盖光纤光缆、电力电缆、海缆及海外能源通信业务，与中天科技业务重合度最高。</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研究纪要认为其海外通信及能源项目布局更突出，海缆和光纤光缆具备较强规模。</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东方电缆（603606）</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中天科技在海底电缆、高压海缆和海上风电领域的直接竞争对手。</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业务相对聚焦电缆系统和海洋工程，高压交流海缆、柔性直流海缆及海上风电项目经验较强，但业务多元化程度低于中天科技。</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长飞光纤（601869）</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中天科技在光纤预制棒、光纤和光缆领域的主要可比公司。</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核心优势为光纤预制棒和光纤产业链、技术积累及国际化布局；通信光纤光缆业务集中度高于中天科技。</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烽火通信（600498）</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覆盖通信系统设备、光通信产品、光纤光缆及网络解决方案，是通信网络、运营商集采和数据通信领域的重要可比公司。</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在通信系统设备、网络解决方案和运营商客户关系方面更强；中天科技在电力电缆、海缆和能源互联方面更具优势。</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汉缆股份（002498）</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主要在电力电缆、海缆及输配电产品领域与中天科技形成部分竞争。</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在电力电缆及海缆领域具有一定规模，但与中天科技的业务重合主要集中于电缆和海缆。</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宝胜股份（600973）</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主要在电线电缆、海缆及电气装备领域与中天科技形成部分竞争。</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具备电线电缆及电气装备产业基础，但不能视为中天科技整体业务的完全可比对象。</w:t>
            </w:r>
          </w:p>
        </w:tc>
      </w:tr>
    </w:tbl>
    <w:p>
      <w:pPr>
        <w:spacing w:before="200"/>
      </w:pPr>
    </w:p>
    <w:p>
      <w:pPr>
        <w:spacing w:after="160" w:line="300"/>
      </w:pPr>
      <w:r>
        <w:rPr>
          <w:sz w:val="22"/>
          <w:szCs w:val="22"/>
        </w:rPr>
        <w:t xml:space="preserve">中天科技与亨通光电的业务重合度最高，均具有通信与能源双主业及海外布局；与东方电缆相比，中天科技业务更为多元，覆盖通信、综合电网、新能源和储能；与长飞光纤、烽火通信相比，中天科技在电力电缆、海缆和能源互联方面更具优势，但光通信业务并非公司唯一核心。公司的相对优势在于“棒—纤—缆”一体化、通信与能源协同、海缆及高压输电技术和工程交付能力；相对短板是低毛利铜产品、电网建设和部分新能源业务占比较高，整体毛利率由2022年约18.28%下降至2025年约13.88%。2025年年报对2023、2024年数据进行了追溯调整，历史毛利率和净利率比较应以最新年报追溯口径为准。</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原材料成本和利润率风险：光通信及网络、电力传输、海洋系列、新能源和铜产品的直接材料成本占比分别为78.34%、91.77%、87.60%、86.65%和97.68%；铜价、铝材及其他材料价格波动，或招投标价格竞争加剧，可能继续压缩公司利润率。</w:t>
      </w:r>
    </w:p>
    <w:p>
      <w:pPr>
        <w:pStyle w:val="ListParagraph"/>
        <w:numPr>
          <w:ilvl w:val="0"/>
          <w:numId w:val="2"/>
        </w:numPr>
        <w:spacing w:after="80" w:line="280"/>
      </w:pPr>
      <w:r>
        <w:rPr>
          <w:sz w:val="22"/>
          <w:szCs w:val="22"/>
        </w:rPr>
        <w:t xml:space="preserve">低毛利业务拖累风险：2025年铜产品收入95.21亿元、毛利率2.17%，新能源收入56.97亿元、毛利率5.56%；若铜产品、新能源及普通电缆业务占比维持较高水平，海洋系列和光通信业务的利润改善可能难以充分转化为整体盈利提升。</w:t>
      </w:r>
    </w:p>
    <w:p>
      <w:pPr>
        <w:pStyle w:val="ListParagraph"/>
        <w:numPr>
          <w:ilvl w:val="0"/>
          <w:numId w:val="2"/>
        </w:numPr>
        <w:spacing w:after="80" w:line="280"/>
      </w:pPr>
      <w:r>
        <w:rPr>
          <w:sz w:val="22"/>
          <w:szCs w:val="22"/>
        </w:rPr>
        <w:t xml:space="preserve">应收账款与存货占用风险：截至2025年末应收账款余额151.98亿元、存货78.44亿元，同比增加37.15%，应收账款周转天数约101天；电网、运营商、海上风电及工程项目的集中采购和项目制回款若延迟，可能增加坏账、减值和经营现金流压力。</w:t>
      </w:r>
    </w:p>
    <w:p>
      <w:pPr>
        <w:pStyle w:val="ListParagraph"/>
        <w:numPr>
          <w:ilvl w:val="0"/>
          <w:numId w:val="2"/>
        </w:numPr>
        <w:spacing w:after="80" w:line="280"/>
      </w:pPr>
      <w:r>
        <w:rPr>
          <w:sz w:val="22"/>
          <w:szCs w:val="22"/>
        </w:rPr>
        <w:t xml:space="preserve">诉讼风险：江苏苏豪中锦发展有限公司就合同纠纷请求撤销相关合同、返还约4.98亿元并支付约0.98亿元利息，涉诉金额约5.96亿元；案件目前处于一审审理阶段，尚未判决，公司尚未就该事项形成预计负债，后续判决结果可能影响当期损益或现金安排。</w:t>
      </w:r>
    </w:p>
    <w:p>
      <w:pPr>
        <w:pStyle w:val="ListParagraph"/>
        <w:numPr>
          <w:ilvl w:val="0"/>
          <w:numId w:val="2"/>
        </w:numPr>
        <w:spacing w:after="80" w:line="280"/>
      </w:pPr>
      <w:r>
        <w:rPr>
          <w:sz w:val="22"/>
          <w:szCs w:val="22"/>
        </w:rPr>
        <w:t xml:space="preserve">业绩预测与兑现风险：2026年机构对归母净利润的预测区间为46.57亿至76.37亿元，最高与最低预测相差约64%；2026年上半年报告未经审计，且上半年利润包含政府补助、资产处置收益等非经常性因素，若光纤光缆价格、高压海缆交付或AI通信需求不及预期，实际业绩可能低于市场预测。</w:t>
      </w:r>
    </w:p>
    <w:p>
      <w:pPr>
        <w:pStyle w:val="ListParagraph"/>
        <w:numPr>
          <w:ilvl w:val="0"/>
          <w:numId w:val="2"/>
        </w:numPr>
        <w:spacing w:after="80" w:line="280"/>
      </w:pPr>
      <w:r>
        <w:rPr>
          <w:sz w:val="22"/>
          <w:szCs w:val="22"/>
        </w:rPr>
        <w:t xml:space="preserve">光通信及海缆业务波动风险：传统光通信市场曾面临运营商集中采购、价格竞争和需求周期波动，光通信业务目前仍处于结构调整期；海缆业务收入和毛利率还会受到项目进度、交付结构、材料成本及海上风电建设节奏影响，单一年度的交付改善未必能够持续。</w:t>
      </w:r>
    </w:p>
    <w:p>
      <w:pPr>
        <w:pStyle w:val="ListParagraph"/>
        <w:numPr>
          <w:ilvl w:val="0"/>
          <w:numId w:val="2"/>
        </w:numPr>
        <w:spacing w:after="80" w:line="280"/>
      </w:pPr>
      <w:r>
        <w:rPr>
          <w:sz w:val="22"/>
          <w:szCs w:val="22"/>
        </w:rPr>
        <w:t xml:space="preserve">股价波动与筹码风险：截至2026年6月30日股东户数较一季度大幅增加，2026年9月11日换手率为7.78%，随机指标处于超买区域；若高成交额无法推动股价持续站稳34.7元，可能出现震荡或回踩。第三期员工持股计划已有595.20万股达到解锁条件，后续实际处置也可能形成阶段性供给压力。</w:t>
      </w:r>
    </w:p>
    <w:p>
      <w:pPr>
        <w:pStyle w:val="ListParagraph"/>
        <w:numPr>
          <w:ilvl w:val="0"/>
          <w:numId w:val="2"/>
        </w:numPr>
        <w:spacing w:after="80" w:line="280"/>
      </w:pPr>
      <w:r>
        <w:rPr>
          <w:sz w:val="22"/>
          <w:szCs w:val="22"/>
        </w:rPr>
        <w:t xml:space="preserve">回购实施不及预期风险：第六期回购计划资金总额为2亿至4亿元，截至2026年8月31日累计支付金额5953.67万元，仍处于实施阶段；回购尚未完成，且股份拟用于员工持股计划或股权激励而非注销，对总股本和每股收益的直接改善有限，后续执行节奏及具体激励安排仍存在不确定性。</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公司的增长逻辑主要来自高压海缆、光纤光缆、特种光纤、高速铜缆及AI通信需求，同时受益于电网建设、海洋能源互联和海外市场拓展。2026年上半年收入、利润和毛利率同步改善，显示高毛利业务交付及光通信景气修复对业绩的带动正在增强；若后续订单交付、产品价格和业务结构改善能够延续，盈利中枢有望较2025年提升。</w:t>
      </w:r>
    </w:p>
    <w:p>
      <w:pPr>
        <w:spacing w:after="160" w:line="300"/>
      </w:pPr>
      <w:r>
        <w:rPr>
          <w:sz w:val="22"/>
          <w:szCs w:val="22"/>
        </w:rPr>
        <w:t xml:space="preserve">需要关注增长质量和持续性。公司整体仍有较高比例的电网建设、铜产品及新能源收入，2025年制造业毛利率仅13.55%；同时应收账款、存货和项目制经营特征意味着利润增长能否转化为稳定现金流仍需观察。机构预测与实际结果存在较大差异，2026年盈利预测最高值与最低值相差约64%，因此未来业绩对光纤光缆价格、高压海缆交付、AI通信需求及非经常性损益变化较为敏感。</w:t>
      </w:r>
    </w:p>
    <w:p>
      <w:pPr>
        <w:spacing w:after="160" w:line="300"/>
      </w:pPr>
      <w:r>
        <w:rPr>
          <w:sz w:val="22"/>
          <w:szCs w:val="22"/>
        </w:rPr>
        <w:t xml:space="preserve">截至2026年9月11日，股价对应动态市盈率约31.63倍、扣非市盈率约34.10倍，按机构盈利预测计算的远期估值低于按2025年实际利润计算的估值，但估值消化仍依赖盈利兑现。短期股价能否持续走强，需结合34.3—34.7元压力区、33.2—33.6元均线支撑区以及成交量和资金流向变化综合观察，技术信号不能替代基本面验证。</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中天科技(600522)_公司公告_中天科技：2025年年度报告新浪财经_新浪网 — https://vip.stock.finance.sina.com.cn/corp/view/vCB_AllBulletinDetail.php?id=12180635&amp;stockid=600522</w:t>
      </w:r>
    </w:p>
    <w:p>
      <w:pPr>
        <w:spacing w:after="200"/>
      </w:pPr>
      <w:r>
        <w:rPr>
          <w:i/>
          <w:iCs/>
          <w:color w:val="595959"/>
          <w:sz w:val="18"/>
          <w:szCs w:val="18"/>
        </w:rPr>
        <w:t xml:space="preserve">中天科技2025可视化年报|上海证券报·中国证券网 — https://visualfin.cnstock.com/h5/202512/600522.html</w:t>
      </w:r>
    </w:p>
    <w:p>
      <w:pPr>
        <w:spacing w:after="200"/>
      </w:pPr>
      <w:r>
        <w:rPr>
          <w:i/>
          <w:iCs/>
          <w:color w:val="595959"/>
          <w:sz w:val="18"/>
          <w:szCs w:val="18"/>
        </w:rPr>
        <w:t xml:space="preserve">中国海底电缆 2026：海上风电与跨海联网的双轮驱动 — 天下工厂产业研究院 — https://faxiangongchang.com/reports/china-submarine-cable-2026?utm_source=openai</w:t>
      </w:r>
    </w:p>
    <w:p>
      <w:pPr>
        <w:spacing w:after="200"/>
      </w:pPr>
      <w:r>
        <w:rPr>
          <w:i/>
          <w:iCs/>
          <w:color w:val="595959"/>
          <w:sz w:val="18"/>
          <w:szCs w:val="18"/>
        </w:rPr>
        <w:t xml:space="preserve">中天科技(600522)_公司公告_中天科技：2024年年度报告新浪财经_新浪网 — https://money.finance.sina.com.cn/corp/view/vCB_AllBulletinDetail.php?id=10956669&amp;stockid=600522</w:t>
      </w:r>
    </w:p>
    <w:p>
      <w:pPr>
        <w:spacing w:after="200"/>
      </w:pPr>
      <w:r>
        <w:rPr>
          <w:i/>
          <w:iCs/>
          <w:color w:val="595959"/>
          <w:sz w:val="18"/>
          <w:szCs w:val="18"/>
        </w:rPr>
        <w:t xml:space="preserve">中天科技(600522)的历史市盈率,历史市净率,历史股息率,新闻,财报,研报,数据 - 理财大视野 — https://dashiyetouzi.com/tools/stock.php?stock_id=600522&amp;utm_source=openai</w:t>
      </w:r>
    </w:p>
    <w:p>
      <w:pPr>
        <w:spacing w:after="200"/>
      </w:pPr>
      <w:r>
        <w:rPr>
          <w:i/>
          <w:iCs/>
          <w:color w:val="595959"/>
          <w:sz w:val="18"/>
          <w:szCs w:val="18"/>
        </w:rPr>
        <w:t xml:space="preserve">中天科技(600522)_公司公告_中天科技：2023年年度报告新浪财经_新浪网 — https://vip.stock.finance.sina.com.cn/corp/view/vCB_AllBulletinDetail.php?id=10085498&amp;stockid=600522&amp;utm_source=openai</w:t>
      </w:r>
    </w:p>
    <w:p>
      <w:pPr>
        <w:spacing w:after="200"/>
      </w:pPr>
      <w:r>
        <w:rPr>
          <w:i/>
          <w:iCs/>
          <w:color w:val="595959"/>
          <w:sz w:val="18"/>
          <w:szCs w:val="18"/>
        </w:rPr>
        <w:t xml:space="preserve">中天科技(600522)_公司公告_中天科技：2024年年度报告新浪财经_新浪网 — https://money.finance.sina.com.cn/corp/view/vCB_AllBulletinDetail.php?id=10956669&amp;stockid=600522&amp;utm_source=openai</w:t>
      </w:r>
    </w:p>
    <w:p>
      <w:pPr>
        <w:spacing w:after="200"/>
      </w:pPr>
      <w:r>
        <w:rPr>
          <w:i/>
          <w:iCs/>
          <w:color w:val="595959"/>
          <w:sz w:val="18"/>
          <w:szCs w:val="18"/>
        </w:rPr>
        <w:t xml:space="preserve">中天科技(600522)_公司公告_中天科技：2025年年度报告新浪财经_新浪网 — https://vip.stock.finance.sina.com.cn/corp/view/vCB_AllBulletinDetail.php?id=12180635&amp;stockid=600522&amp;utm_source=openai</w:t>
      </w:r>
    </w:p>
    <w:p>
      <w:pPr>
        <w:spacing w:after="200"/>
      </w:pPr>
      <w:r>
        <w:rPr>
          <w:i/>
          <w:iCs/>
          <w:color w:val="595959"/>
          <w:sz w:val="18"/>
          <w:szCs w:val="18"/>
        </w:rPr>
        <w:t xml:space="preserve">财通证券-海缆行业深度：海上风电强势崛起，海缆高壁垒铸就高盈利-221009.pdf — https://img.shangyexinzhi.com/xztest-file/report/report_266cf8e3163c52959e6acf36a8506a18.pdf?utm_source=openai</w:t>
      </w:r>
    </w:p>
    <w:p>
      <w:pPr>
        <w:spacing w:after="200"/>
      </w:pPr>
      <w:r>
        <w:rPr>
          <w:i/>
          <w:iCs/>
          <w:color w:val="595959"/>
          <w:sz w:val="18"/>
          <w:szCs w:val="18"/>
        </w:rPr>
        <w:t xml:space="preserve">汇源通信 2025 年度向特定对象发行 A 股股票　　　　　　　　　　　　　　募集说明书（申报稿） — https://static.cninfo.com.cn/finalpage/2026-03-28/1225043447.PDF?utm_source=openai</w:t>
      </w:r>
    </w:p>
    <w:p>
      <w:pPr>
        <w:spacing w:after="200"/>
      </w:pPr>
      <w:r>
        <w:rPr>
          <w:i/>
          <w:iCs/>
          <w:color w:val="595959"/>
          <w:sz w:val="18"/>
          <w:szCs w:val="18"/>
        </w:rPr>
        <w:t xml:space="preserve">中天科技(600522) 行业对比_F10_同花顺金融服务网 — https://basic.10jqka.com.cn/600522/field.html?utm_source=openai</w:t>
      </w:r>
    </w:p>
    <w:p>
      <w:pPr>
        <w:spacing w:after="200"/>
      </w:pPr>
      <w:r>
        <w:rPr>
          <w:i/>
          <w:iCs/>
          <w:color w:val="595959"/>
          <w:sz w:val="18"/>
          <w:szCs w:val="18"/>
        </w:rPr>
        <w:t xml:space="preserve">烽火通信科技股份有限公司　　　　　　　　　　　　　　　　　　　　　　　　　募集说明书 — https://dataclouds.cninfo.com.cn/shgonggao/2025/2025-07-15/c6c543e0608411f086d6fa163e957f7a.pdf?utm_source=openai</w:t>
      </w:r>
    </w:p>
    <w:p>
      <w:pPr>
        <w:spacing w:after="200"/>
      </w:pPr>
      <w:r>
        <w:rPr>
          <w:i/>
          <w:iCs/>
          <w:color w:val="595959"/>
          <w:sz w:val="18"/>
          <w:szCs w:val="18"/>
        </w:rPr>
        <w:t xml:space="preserve">没有幻灯片标题 — https://pdf.dfcfw.com/pdf/H301_AP202412101641235542_1.pdf?utm_source=openai</w:t>
      </w:r>
    </w:p>
    <w:p>
      <w:pPr>
        <w:spacing w:after="200"/>
      </w:pPr>
      <w:r>
        <w:rPr>
          <w:i/>
          <w:iCs/>
          <w:color w:val="595959"/>
          <w:sz w:val="18"/>
          <w:szCs w:val="18"/>
        </w:rPr>
        <w:t xml:space="preserve">中天科技(600522)_公司公告_中天科技：2026年半年度报告新浪财经_新浪网 — https://money.finance.sina.com.cn/corp/view/vCB_AllBulletinDetail.php?id=12558200&amp;stockid=600522</w:t>
      </w:r>
    </w:p>
    <w:p>
      <w:pPr>
        <w:spacing w:after="200"/>
      </w:pPr>
      <w:r>
        <w:rPr>
          <w:i/>
          <w:iCs/>
          <w:color w:val="595959"/>
          <w:sz w:val="18"/>
          <w:szCs w:val="18"/>
        </w:rPr>
        <w:t xml:space="preserve">中天科技(600522) 盈利预测_F10_同花顺金融服务网 — https://basic.10jqka.com.cn/600522/worth.html</w:t>
      </w:r>
    </w:p>
    <w:p>
      <w:pPr>
        <w:spacing w:after="200"/>
      </w:pPr>
      <w:r>
        <w:rPr>
          <w:i/>
          <w:iCs/>
          <w:color w:val="595959"/>
          <w:sz w:val="18"/>
          <w:szCs w:val="18"/>
        </w:rPr>
        <w:t xml:space="preserve">中天科技(600522) 盈利预测_F10_同花顺金融服务网 — https://basic.10jqka.com.cn/48/600522/worth.html</w:t>
      </w:r>
    </w:p>
    <w:p>
      <w:pPr>
        <w:spacing w:after="200"/>
      </w:pPr>
      <w:r>
        <w:rPr>
          <w:i/>
          <w:iCs/>
          <w:color w:val="595959"/>
          <w:sz w:val="18"/>
          <w:szCs w:val="18"/>
        </w:rPr>
        <w:t xml:space="preserve">中天科技(sh600522)研究报告|研究评级|机构研报_新浪财经_新浪网 — https://stock.finance.sina.com.cn/stock/go.php/vReport_List/kind/search/index.phtml?symbol=sh600522&amp;t1=all</w:t>
      </w:r>
    </w:p>
    <w:p>
      <w:pPr>
        <w:spacing w:after="200"/>
      </w:pPr>
      <w:r>
        <w:rPr>
          <w:i/>
          <w:iCs/>
          <w:color w:val="595959"/>
          <w:sz w:val="18"/>
          <w:szCs w:val="18"/>
        </w:rPr>
        <w:t xml:space="preserve">机构评级|华泰证券给予中天科技“买入”评级 — https://stock.10jqka.com.cn/20260501/c676436740.shtml?utm_source=openai</w:t>
      </w:r>
    </w:p>
    <w:p>
      <w:pPr>
        <w:spacing w:after="200"/>
      </w:pPr>
      <w:r>
        <w:rPr>
          <w:i/>
          <w:iCs/>
          <w:color w:val="595959"/>
          <w:sz w:val="18"/>
          <w:szCs w:val="18"/>
        </w:rPr>
        <w:t xml:space="preserve">中天科技(600522)股票信息 - 数据平台 — https://data.agoer.com/cms/Index/detail?id=600522&amp;utm_source=openai</w:t>
      </w:r>
    </w:p>
    <w:p>
      <w:pPr>
        <w:spacing w:after="200"/>
      </w:pPr>
      <w:r>
        <w:rPr>
          <w:i/>
          <w:iCs/>
          <w:color w:val="595959"/>
          <w:sz w:val="18"/>
          <w:szCs w:val="18"/>
        </w:rPr>
        <w:t xml:space="preserve">中天科技(600522)股票历史数据:历史行情,价格,走势图表_英为财情Investing.com — https://cn.investing.com/equities/zhongtian-tech-historical-data</w:t>
      </w:r>
    </w:p>
    <w:p>
      <w:pPr>
        <w:spacing w:after="200"/>
      </w:pPr>
      <w:r>
        <w:rPr>
          <w:i/>
          <w:iCs/>
          <w:color w:val="595959"/>
          <w:sz w:val="18"/>
          <w:szCs w:val="18"/>
        </w:rPr>
        <w:t xml:space="preserve">中天科技(600522)_股票行情，行情首页_中财网 — https://data.cfi.cn/600522.html?utm_source=openai</w:t>
      </w:r>
    </w:p>
    <w:p>
      <w:pPr>
        <w:spacing w:after="200"/>
      </w:pPr>
      <w:r>
        <w:rPr>
          <w:i/>
          <w:iCs/>
          <w:color w:val="595959"/>
          <w:sz w:val="18"/>
          <w:szCs w:val="18"/>
        </w:rPr>
        <w:t xml:space="preserve">中天科技(600522)股票行情走势技术分析_未来预测_买卖操作建议_英为财情Investing.com — https://cn.investing.com/equities/zhongtian-tech-technical</w:t>
      </w:r>
    </w:p>
    <w:p>
      <w:pPr>
        <w:spacing w:after="200"/>
      </w:pPr>
      <w:r>
        <w:rPr>
          <w:i/>
          <w:iCs/>
          <w:color w:val="595959"/>
          <w:sz w:val="18"/>
          <w:szCs w:val="18"/>
        </w:rPr>
        <w:t xml:space="preserve">中天科技(600522.SS) 走勢圖 - Yahoo股市 — https://tw.stock.yahoo.com/quote/600522.SS?utm_source=openai</w:t>
      </w:r>
    </w:p>
    <w:p>
      <w:pPr>
        <w:spacing w:after="200"/>
      </w:pPr>
      <w:r>
        <w:rPr>
          <w:i/>
          <w:iCs/>
          <w:color w:val="595959"/>
          <w:sz w:val="18"/>
          <w:szCs w:val="18"/>
        </w:rPr>
        <w:t xml:space="preserve">中天科技(600522)_资金流向_证券之星 — https://stock.quote.stockstar.com/capital_600522.shtml?utm_source=openai</w:t>
      </w:r>
    </w:p>
    <w:p>
      <w:pPr>
        <w:spacing w:after="200"/>
      </w:pPr>
      <w:r>
        <w:rPr>
          <w:i/>
          <w:iCs/>
          <w:color w:val="595959"/>
          <w:sz w:val="18"/>
          <w:szCs w:val="18"/>
        </w:rPr>
        <w:t xml:space="preserve">中天科技 (600522) - 历史交易数据 | 打板客网 — https://dabanke.com/hangqing-600522.html?utm_source=openai</w:t>
      </w:r>
    </w:p>
    <w:p>
      <w:pPr>
        <w:spacing w:after="200"/>
      </w:pPr>
      <w:r>
        <w:rPr>
          <w:i/>
          <w:iCs/>
          <w:color w:val="595959"/>
          <w:sz w:val="18"/>
          <w:szCs w:val="18"/>
        </w:rPr>
        <w:t xml:space="preserve">本报告由AI基于公开渠道信息自动检索、整理并生成，信息截至 数据截至2026年9月11日收盘；下一交易周为2026年9月14日至9月18日。价格、成交量、成交额及估值数据主要参考中财网、英为财情等，部分平台存在延迟或口径差异。，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2026-09-13T13:54:59.315Z</dcterms:created>
  <dcterms:modified xsi:type="dcterms:W3CDTF">2026-09-13T13:54:59.315Z</dcterms:modified>
</cp:coreProperties>
</file>

<file path=docProps/custom.xml><?xml version="1.0" encoding="utf-8"?>
<Properties xmlns="http://schemas.openxmlformats.org/officeDocument/2006/custom-properties" xmlns:vt="http://schemas.openxmlformats.org/officeDocument/2006/docPropsVTypes"/>
</file>