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中国软件与技术服务股份有限公司 (600536)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行业：基础软件与政企数字化服务</w:t>
      </w:r>
    </w:p>
    <w:p>
      <w:pPr>
        <w:jc w:val="center"/>
      </w:pPr>
      <w:r>
        <w:rPr>
          <w:color w:val="595959"/>
          <w:sz w:val="22"/>
          <w:szCs w:val="22"/>
        </w:rPr>
        <w:t xml:space="preserve">报告日期：2026年9月13日</w:t>
      </w:r>
    </w:p>
    <w:p>
      <w:pPr>
        <w:jc w:val="center"/>
      </w:pPr>
      <w:r>
        <w:rPr>
          <w:color w:val="595959"/>
          <w:sz w:val="20"/>
          <w:szCs w:val="20"/>
        </w:rPr>
        <w:t xml:space="preserve">截至2026年9月11日收盘；行情数据时间为2026年9月11日15:00:03。</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中国软件当前处于“收入承压、亏损收窄但尚未实现稳定盈利”的阶段：2026年上半年营业收入17.92亿元，同比下降20.05%，归母净利润亏损1,240.19万元，较上年同期明显减亏，但经营活动现金流量净额仍为-9.13亿元。公司截至2026年9月11日收盘价为31.49元，动态市盈率约1,419.78倍，估值对未来盈利兑现要求较高。</w:t>
      </w:r>
    </w:p>
    <w:p>
      <w:pPr>
        <w:spacing w:after="160" w:line="300"/>
      </w:pPr>
      <w:r>
        <w:rPr>
          <w:sz w:val="22"/>
          <w:szCs w:val="22"/>
        </w:rPr>
        <w:t xml:space="preserve">公司的核心价值在于麒麟操作系统及其基础软件生态、政企客户资源和自主安全软件定位。2025年基础软件收入16.32亿元，同比增长13.47%，平均毛利率达81.13%；但收入占比较高的党政核心应用解决方案收入下降7.72%，毛利率为23.56%，业务结构仍体现出高毛利基础软件与低毛利项目交付之间的明显分化。</w:t>
      </w:r>
    </w:p>
    <w:p>
      <w:pPr>
        <w:spacing w:after="160" w:line="300"/>
      </w:pPr>
      <w:r>
        <w:rPr>
          <w:sz w:val="22"/>
          <w:szCs w:val="22"/>
        </w:rPr>
        <w:t xml:space="preserve">盈利改善逻辑主要来自基础软件占比提升、操作系统生态商业化、项目型业务产品化以及费用和营运资金控制。2025年整体毛利率已升至约42.38%，归母亏损由2024年的4.13亿元收窄至4,141万元，但2026年上半年收入继续下滑，且利润改善部分受到上年同期股权资产减值基数较高及资产处置、减值转回等阶段性因素影响，主营业务盈利反转仍需验证。</w:t>
      </w:r>
    </w:p>
    <w:p>
      <w:pPr>
        <w:spacing w:after="160" w:line="300"/>
      </w:pPr>
      <w:r>
        <w:rPr>
          <w:sz w:val="22"/>
          <w:szCs w:val="22"/>
        </w:rPr>
        <w:t xml:space="preserve">技术面上，股价低于MA5、MA10和MA20，MACD绿柱放大，近5个交易日连续走弱，短线结构偏弱；31.0—31.3元附近接近近期低点和布林下轨，33.2—33.5元为均线密集压力区。后续价格走势仍需结合成交量、资金流向及业绩兑现情况观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600536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中国电子信息产业集团有限公司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公司定位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中国电子计算产业核心企业和“自主安全软件国家队”</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主要客户</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中央部委、地方政府、大型央企和国企，覆盖税务、财政、海关、纪检监察、司法、电力、交通、金融和智算等领域</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约51.10亿元；根据2025年研发投入11.42亿元占营业收入22.38%及分部收入合计计算</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2025年归母净利润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亏损4,141万元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研发投入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2025年合计11.42亿元，占营业收入22.38%；其中费用化研发投入7.25亿元，资本化研发投入4.17亿元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研发人员</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2025年3,081人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核心资产与资源</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麒麟操作系统代码和知识产权、政府及央国企客户资源、行业解决方案经验、适配生态、研发人员和重大项目交付资质</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重要股权资产</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持有麒麟软件47.23%股权并纳入合并报表；持有武汉达梦数据库18.91%股权，采用权益法核算</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基础软件：以操作系统为核心，由控股子公司麒麟软件承担，产品包括桌面操作系统、服务器操作系统、移动端操作系统，并向智算操作系统、工业操作系统等方向延伸。</w:t>
      </w:r>
    </w:p>
    <w:p>
      <w:pPr>
        <w:pStyle w:val="ListParagraph"/>
        <w:numPr>
          <w:ilvl w:val="0"/>
          <w:numId w:val="2"/>
        </w:numPr>
        <w:spacing w:after="80" w:line="280"/>
      </w:pPr>
      <w:r>
        <w:rPr>
          <w:sz w:val="22"/>
          <w:szCs w:val="22"/>
        </w:rPr>
        <w:t xml:space="preserve">党政核心应用解决方案：面向中央部委、地方政府、央国企和重点行业客户，提供软件开发、系统集成、行业应用、技术服务和运维服务。</w:t>
      </w:r>
    </w:p>
    <w:p>
      <w:pPr>
        <w:pStyle w:val="ListParagraph"/>
        <w:numPr>
          <w:ilvl w:val="0"/>
          <w:numId w:val="2"/>
        </w:numPr>
        <w:spacing w:after="80" w:line="280"/>
      </w:pPr>
      <w:r>
        <w:rPr>
          <w:sz w:val="22"/>
          <w:szCs w:val="22"/>
        </w:rPr>
        <w:t xml:space="preserve">基础软件2025年营业收入16.32亿元，同比增长13.47%，平均毛利率81.13%，同比下降4.66个百分点。</w:t>
      </w:r>
    </w:p>
    <w:p>
      <w:pPr>
        <w:pStyle w:val="ListParagraph"/>
        <w:numPr>
          <w:ilvl w:val="0"/>
          <w:numId w:val="2"/>
        </w:numPr>
        <w:spacing w:after="80" w:line="280"/>
      </w:pPr>
      <w:r>
        <w:rPr>
          <w:sz w:val="22"/>
          <w:szCs w:val="22"/>
        </w:rPr>
        <w:t xml:space="preserve">党政核心应用解决方案2025年营业收入34.39亿元，同比下降7.72%，平均毛利率23.56%，同比提升5.24个百分点。</w:t>
      </w:r>
    </w:p>
    <w:p>
      <w:pPr>
        <w:pStyle w:val="ListParagraph"/>
        <w:numPr>
          <w:ilvl w:val="0"/>
          <w:numId w:val="2"/>
        </w:numPr>
        <w:spacing w:after="80" w:line="280"/>
      </w:pPr>
      <w:r>
        <w:rPr>
          <w:sz w:val="22"/>
          <w:szCs w:val="22"/>
        </w:rPr>
        <w:t xml:space="preserve">公司业务模式以公开招标、单一来源采购等项目型运营为主，同时销售自主软件产品并提供软件开发、系统集成、信息化咨询和运维服务。</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中国软件位于信创产业链中游偏上游：上游连接国产CPU、服务器、数据库、中间件、安全软件和云基础设施，中游提供麒麟操作系统、基础软件产品、行业平台和核心应用解决方案，下游服务党政机关、央国企、金融、电力、交通、税务和海关等关键行业客户。公司内部业务呈现明显的微笑曲线分化，基础软件偏平台和知识产权环节，党政核心应用解决方案偏项目交付和系统集成环节。</w:t>
      </w:r>
    </w:p>
    <w:p>
      <w:pPr>
        <w:pStyle w:val="ListParagraph"/>
        <w:numPr>
          <w:ilvl w:val="0"/>
          <w:numId w:val="2"/>
        </w:numPr>
        <w:spacing w:after="80" w:line="280"/>
      </w:pPr>
      <w:r>
        <w:rPr>
          <w:sz w:val="22"/>
          <w:szCs w:val="22"/>
        </w:rPr>
        <w:t xml:space="preserve">实际投入品主要包括软件研发人员和项目实施人员，以及服务器、PC、芯片、网络设备等硬件；数据库、中间件、安全软件和云计算服务；外部软件授权、技术服务和系统集成服务；办公场地、云资源、算力和基础设施服务。</w:t>
      </w:r>
    </w:p>
    <w:p>
      <w:pPr>
        <w:pStyle w:val="ListParagraph"/>
        <w:numPr>
          <w:ilvl w:val="0"/>
          <w:numId w:val="2"/>
        </w:numPr>
        <w:spacing w:after="80" w:line="280"/>
      </w:pPr>
      <w:r>
        <w:rPr>
          <w:sz w:val="22"/>
          <w:szCs w:val="22"/>
        </w:rPr>
        <w:t xml:space="preserve">基础软件业务的主要成本来自研发人员薪酬、研发投入、产品维护和生态适配，传统原材料成本较低。2025年基础软件平均毛利率为81.13%，体现出软件知识产权和授权业务的高毛利特征。</w:t>
      </w:r>
    </w:p>
    <w:p>
      <w:pPr>
        <w:pStyle w:val="ListParagraph"/>
        <w:numPr>
          <w:ilvl w:val="0"/>
          <w:numId w:val="2"/>
        </w:numPr>
        <w:spacing w:after="80" w:line="280"/>
      </w:pPr>
      <w:r>
        <w:rPr>
          <w:sz w:val="22"/>
          <w:szCs w:val="22"/>
        </w:rPr>
        <w:t xml:space="preserve">党政核心应用解决方案的成本更多来自项目实施、软件开发、系统集成、外购软硬件和现场服务，2025年平均毛利率为23.56%，显著低于基础软件。</w:t>
      </w:r>
    </w:p>
    <w:p>
      <w:pPr>
        <w:pStyle w:val="ListParagraph"/>
        <w:numPr>
          <w:ilvl w:val="0"/>
          <w:numId w:val="2"/>
        </w:numPr>
        <w:spacing w:after="80" w:line="280"/>
      </w:pPr>
      <w:r>
        <w:rPr>
          <w:sz w:val="22"/>
          <w:szCs w:val="22"/>
        </w:rPr>
        <w:t xml:space="preserve">2025年前五名供应商采购额为11.15亿元，占年度采购总额30.82%；其中关联方采购额为2.58亿元，占年度采购总额7.12%。该数据为2025年年度报告合并口径，研究纪要未提供其他年度数据用于交叉比较。</w:t>
      </w:r>
    </w:p>
    <w:p>
      <w:pPr>
        <w:pStyle w:val="ListParagraph"/>
        <w:numPr>
          <w:ilvl w:val="0"/>
          <w:numId w:val="2"/>
        </w:numPr>
        <w:spacing w:after="80" w:line="280"/>
      </w:pPr>
      <w:r>
        <w:rPr>
          <w:sz w:val="22"/>
          <w:szCs w:val="22"/>
        </w:rPr>
        <w:t xml:space="preserve">公司披露不存在单个供应商采购额超过采购总额50%，也不存在对少数供应商的严重依赖；但对通用硬件、数据库、中间件和第三方技术服务存在一定外部依赖。</w:t>
      </w:r>
    </w:p>
    <w:p>
      <w:pPr>
        <w:pStyle w:val="ListParagraph"/>
        <w:numPr>
          <w:ilvl w:val="0"/>
          <w:numId w:val="2"/>
        </w:numPr>
        <w:spacing w:after="80" w:line="280"/>
      </w:pPr>
      <w:r>
        <w:rPr>
          <w:sz w:val="22"/>
          <w:szCs w:val="22"/>
        </w:rPr>
        <w:t xml:space="preserve">公司对自主操作系统核心技术具有较强控制力，基础软件业务的成本议价能力强于集成项目业务；公司未披露按产品线拆分的完整成本构成，因此上述成本判断不能替代内部成本核算数据。</w:t>
      </w:r>
    </w:p>
    <w:p>
      <w:pPr>
        <w:pStyle w:val="ListParagraph"/>
        <w:numPr>
          <w:ilvl w:val="0"/>
          <w:numId w:val="2"/>
        </w:numPr>
        <w:spacing w:after="80" w:line="280"/>
      </w:pPr>
      <w:r>
        <w:rPr>
          <w:sz w:val="22"/>
          <w:szCs w:val="22"/>
        </w:rPr>
        <w:t xml:space="preserve">主要客户包括中央部委和地方政府、税务财政海关等政府部门、央企国企及大型金融机构，以及电力、交通、通信等关键行业客户、大型系统集成商和生态合作伙伴。</w:t>
      </w:r>
    </w:p>
    <w:p>
      <w:pPr>
        <w:pStyle w:val="ListParagraph"/>
        <w:numPr>
          <w:ilvl w:val="0"/>
          <w:numId w:val="2"/>
        </w:numPr>
        <w:spacing w:after="80" w:line="280"/>
      </w:pPr>
      <w:r>
        <w:rPr>
          <w:sz w:val="22"/>
          <w:szCs w:val="22"/>
        </w:rPr>
        <w:t xml:space="preserve">2025年前五名客户销售额为18.80亿元，占年度销售总额36.85%；其中关联方销售额为11.20亿元，占年度销售总额21.96%。该数据为2025年年度报告合并口径，研究纪要未提供其他年度数据用于交叉比较。</w:t>
      </w:r>
    </w:p>
    <w:p>
      <w:pPr>
        <w:pStyle w:val="ListParagraph"/>
        <w:numPr>
          <w:ilvl w:val="0"/>
          <w:numId w:val="2"/>
        </w:numPr>
        <w:spacing w:after="80" w:line="280"/>
      </w:pPr>
      <w:r>
        <w:rPr>
          <w:sz w:val="22"/>
          <w:szCs w:val="22"/>
        </w:rPr>
        <w:t xml:space="preserve">2025年前五大客户包括中国电子信息产业集团有限公司、中国建材集团有限公司、神州数码集团股份有限公司等。由于存在合并披露，前五大客户占比不能精确代表单一法人客户集中度。</w:t>
      </w:r>
    </w:p>
    <w:p>
      <w:pPr>
        <w:pStyle w:val="ListParagraph"/>
        <w:numPr>
          <w:ilvl w:val="0"/>
          <w:numId w:val="2"/>
        </w:numPr>
        <w:spacing w:after="80" w:line="280"/>
      </w:pPr>
      <w:r>
        <w:rPr>
          <w:sz w:val="22"/>
          <w:szCs w:val="22"/>
        </w:rPr>
        <w:t xml:space="preserve">公司披露不存在单个客户销售收入超过营业收入50%，也不存在对少数客户的严重依赖；但前五大客户销售占比36.85%，关联方销售占比21.96%，客户和集团生态集中度仍需持续观察。</w:t>
      </w:r>
    </w:p>
    <w:p>
      <w:pPr>
        <w:pStyle w:val="ListParagraph"/>
        <w:numPr>
          <w:ilvl w:val="0"/>
          <w:numId w:val="2"/>
        </w:numPr>
        <w:spacing w:after="80" w:line="280"/>
      </w:pPr>
      <w:r>
        <w:rPr>
          <w:sz w:val="22"/>
          <w:szCs w:val="22"/>
        </w:rPr>
        <w:t xml:space="preserve">基础软件领域，麒麟操作系统依靠自主品牌、适配生态和信创认证优势，在党政和关键行业国产化替代中具备一定产品议价能力；麒麟操作系统产品连续14年位列中国Linux市场占有率第一，但具体统计口径和市场边界需进一步核实。</w:t>
      </w:r>
    </w:p>
    <w:p>
      <w:pPr>
        <w:pStyle w:val="ListParagraph"/>
        <w:numPr>
          <w:ilvl w:val="0"/>
          <w:numId w:val="2"/>
        </w:numPr>
        <w:spacing w:after="80" w:line="280"/>
      </w:pPr>
      <w:r>
        <w:rPr>
          <w:sz w:val="22"/>
          <w:szCs w:val="22"/>
        </w:rPr>
        <w:t xml:space="preserve">党政核心应用解决方案通常采用公开招标或单一来源采购，项目价格和交付条件受到预算、招标竞争、验收节点及客户回款周期影响，公司的议价能力弱于标准化基础软件业务。</w:t>
      </w:r>
    </w:p>
    <w:p>
      <w:pPr>
        <w:pStyle w:val="ListParagraph"/>
        <w:numPr>
          <w:ilvl w:val="0"/>
          <w:numId w:val="2"/>
        </w:numPr>
        <w:spacing w:after="80" w:line="280"/>
      </w:pPr>
      <w:r>
        <w:rPr>
          <w:sz w:val="22"/>
          <w:szCs w:val="22"/>
        </w:rPr>
        <w:t xml:space="preserve">截至2025年12月31日，应收账款12.07亿元，占2025年营业收入约23.66%；合同资产3.08亿元，占营业收入约6.04%；存货12.56亿元，占营业收入约24.62%；预付款项2.06亿元，占营业收入约4.05%。应收账款与合同资产合计约15.15亿元，占营业收入约29.70%，显示项目制业务和验收制结算对营运资金有一定占用。公司2025年归母净利润为亏损，因此应收账款/净利润指标不具备正向解释意义。公司同时存在应付账款和合同负债，但未完整披露按业务板块拆分的应收账款周转天数、客户平均账期和供应商平均账期，暂不足以仅凭公开数据认定公司对下游拥有强议价能力。</w:t>
      </w:r>
    </w:p>
    <w:p>
      <w:pPr>
        <w:pStyle w:val="ListParagraph"/>
        <w:numPr>
          <w:ilvl w:val="0"/>
          <w:numId w:val="2"/>
        </w:numPr>
        <w:spacing w:after="80" w:line="280"/>
      </w:pPr>
      <w:r>
        <w:rPr>
          <w:sz w:val="22"/>
          <w:szCs w:val="22"/>
        </w:rPr>
        <w:t xml:space="preserve">集中度数据均为2025年年度报告披露的合并口径：前五名供应商采购额占采购总额30.82%，前五名客户销售额占销售总额36.85%；关联方采购和销售占比分别为7.12%和21.96%。研究纪要仅提供2025年度数据，未能与其他年度交叉核实；且中国电子、中国建材、神州数码等客户存在合并披露，不能据此精确判断单一法人客户集中度，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约29.76%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约1.96%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业务中行业解决方案和系统集成占比较高，项目交付、人力成本及外购软硬件投入较多，整体毛利率低于纯软件产品。</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约31.42%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约2.53%</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自主软件产品和操作系统业务增长，软件产品毛利率高于集成类项目，对整体毛利率形成改善。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约36.89%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约-0.12%</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自主软件业务占比和毛利率继续提升，但研发投入、管理费用及部分业务经营压力较大，毛利改善尚未充分转化为归母净利润。</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约37.42%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约-5.94%</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自主软件产品收入约17.19亿元，平均毛利率约77.38%；但业务转型、费用投入、资产减值和项目盈利能力不足导致归母亏损扩大。</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约42.38%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约-0.81%</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基础软件收入增长、党政核心应用解决方案毛利率提升，推动整体毛利率上升；但研发、销售和管理等期间费用较高，业务结构转型和产品化升级仍在进行，归母净利润仍亏损4,141万元。</w:t>
            </w:r>
          </w:p>
        </w:tc>
      </w:tr>
    </w:tbl>
    <w:p>
      <w:pPr>
        <w:spacing w:before="200"/>
      </w:pPr>
    </w:p>
    <w:p>
      <w:pPr>
        <w:spacing w:after="160" w:line="300"/>
      </w:pPr>
      <w:r>
        <w:rPr>
          <w:sz w:val="22"/>
          <w:szCs w:val="22"/>
        </w:rPr>
        <w:t xml:space="preserve">中国软件处于信创产业链中游偏上游：麒麟操作系统等基础软件属于偏上游的平台和知识产权业务，毛利率高、边际成本低、生态壁垒明显；党政核心应用解决方案属于中游项目交付和系统集成业务，收入规模较大但人力和实施成本高、回款与验收更重要。未来利润改善主要取决于高毛利基础软件占比提升、操作系统生态商业化、项目型业务产品化，以及应收账款和期间费用控制，而非传统意义上的产能扩张。</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2026年上半年（1—6月）</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17.9232亿元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同比下降20.05%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归属于上市公司股东的净利润为-1240.19万元；扣非归母净利润为-2558.05万元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归母净利润较上年同期-7452.63万元亏损收窄6212.44万元；由于两期均为亏损，传统净利润同比增长率不适用</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2025年上半年（1—6月）</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22.4187亿元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作为2026年上半年同期比较基数</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归属于上市公司股东的净利润为-7452.63万元；扣非归母净利润为-7675.37万元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同期比较基数，未提供更早期间同比数据</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51.0223亿元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同比下降1.84%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归属于上市公司股东的净利润为-4141.35万元；扣非归母净利润为-5630.01万元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归母净利润较2024年的-4.1264亿元亏损收窄89.96%；扣非归母净利润较2024年的-5.7684亿元亏损收窄90.24%</w:t>
            </w:r>
          </w:p>
        </w:tc>
      </w:tr>
    </w:tbl>
    <w:p>
      <w:pPr>
        <w:spacing w:after="200"/>
      </w:pPr>
      <w:r>
        <w:rPr>
          <w:i/>
          <w:iCs/>
          <w:color w:val="595959"/>
          <w:sz w:val="18"/>
          <w:szCs w:val="18"/>
        </w:rPr>
        <w:t xml:space="preserve">最新一期正式披露财报为《中国软件2026年半年度报告》，披露日期为2026年8月26日；本纪要数据截至2026年9月11日收盘。2026年上半年基本每股收益为-0.01元，上年同期为-0.09元。</w:t>
      </w:r>
    </w:p>
    <w:p>
      <w:pPr>
        <w:spacing w:after="160" w:line="300"/>
      </w:pPr>
      <w:r>
        <w:rPr>
          <w:sz w:val="22"/>
          <w:szCs w:val="22"/>
        </w:rPr>
        <w:t xml:space="preserve">2026年上半年公司收入同比下降20.05%，主要受聚焦网信主业、业务结构转型、部分重点客户结算集中于下半年以及压缩非核心低毛利业务影响。利润总额为7515.94万元，同比增长352.82%；营业利润为7887.15万元，同比增长382.57%，但归母净利润仍为亏损，且利润改善部分受2025年同期股权资产减值基数较高影响，尚不能完全视为主营业务盈利能力反转。经营活动产生的现金流量净额为-9.1312亿元，短期借款增至12.7075亿元，财务和营运资金压力仍需关注。2025年基础软件业务收入约16.32亿元，同比增长13.47%，平均毛利率约81.13%；党政核心应用解决方案收入约34.39亿元，同比下降7.72%，平均毛利率约23.56%。</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同花顺截至2026年8月18日仅收录1家机构的最新盈利预测，不能视为充分意义上的多机构一致预期。华创证券预测发布于2026年5月12日，国联民生证券预测发布于2026年9月9日；国投证券预测发布于2025年12月10日，明显早于2026年半年度报告，属于历史观点。不同机构预测差异较大，2026年归母净利润预测为0.36亿—0.74亿元，2028年为1.51亿—2.18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2026年（同花顺收录单一机构预测）</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未列出对应的最新单一机构营业收入数据</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0.36亿元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0.04元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2027年（同花顺收录单一机构预测）</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0.96亿元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2028年（同花顺收录单一机构预测）</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2026年（华创证券，2026年5月12日）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58.95亿元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0.36亿元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约0.04元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2027年（华创证券，2026年5月12日）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66.35亿元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0.96亿元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约0.10元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2028年（华创证券，2026年5月12日）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73.59亿元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约0.16元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2026年（国联民生证券，2026年9月9日）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0.74亿元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约0.079元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2027年（国联民生证券，2026年9月9日）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约0.121元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2028年（国联民生证券，2026年9月9日）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2.18亿元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约0.233元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2025年（国投证券，2025年12月10日历史预测）</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59.93亿元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2026年（国投证券，2025年12月10日历史预测）</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67.25亿元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1.89亿元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2027年（国投证券，2025年12月10日历史预测）</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79.15亿元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国联民生证券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2026年9月9日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预计2026—2028年归母净利润分别为0.74亿元、1.13亿元和2.18亿元；预测市盈率分别为426倍、280倍和144倍；未披露明确目标价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2026年5月12日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预计2026—2028年营业收入分别为58.95亿元、66.35亿元和73.59亿元，归母净利润分别为0.36亿元、0.96亿元和1.51亿元；未见明确目标价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国投证券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买入-A</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2025年12月10日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6个月目标价为51.33元；预测时点较早，且公司最新半年报表现弱于其当时假设，应作为历史目标价谨慎使用</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同花顺近6个月评级统计</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买入1家、增持1家；中性0家、减持0家、卖出0家</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截至2026年8月18日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评级统计样本和盈利预测覆盖家数有限，不等同于统一口径的多机构一致评级</w:t>
            </w:r>
          </w:p>
        </w:tc>
      </w:tr>
    </w:tbl>
    <w:p>
      <w:pPr>
        <w:spacing w:before="200"/>
      </w:pPr>
    </w:p>
    <w:p>
      <w:pPr>
        <w:spacing w:after="160" w:line="300"/>
      </w:pPr>
      <w:r>
        <w:rPr>
          <w:sz w:val="22"/>
          <w:szCs w:val="22"/>
        </w:rPr>
        <w:t xml:space="preserve">截至2026年9月11日，公司收盘价为31.49元，总股本约9.34亿股，按收盘价估算总市值约294亿元，52周价格区间约为26.82—56.09元。由于2025年及2026年上半年归母净利润均为亏损，静态PE和TTM PE失真；不同平台显示PE-TTM约在1400倍以上，部分平台约为1436—1467倍，中财网显示动态市盈率约1437倍。按2026年6月30日归属于母公司股东的净资产35.8838亿元及约9.34亿股计算，每股净资产约3.84元；以31.49元收盘价计算，PB约8.2倍，不同平台显示PB约4.85—8.47倍。按机构预测计算，同花顺单一机构预测对应2026—2028年前瞻PE约787倍、315倍和197倍；国联民生证券预测对应约399倍、260倍和135倍。公司当前处于收入承压、亏损收窄、等待盈利兑现阶段。2026年上半年收入同比下降20.05%、归母净利润亏损1240.19万元、经营现金流净额为-9.1312亿元，基本面尚未全面反转；同时，当前TTM PE超过1400倍、PB约8倍，估值对未来盈利兑现要求较高。若2026年下半年能够实现收入恢复、经营现金流改善并完成全年盈利，估值才具备一定业绩消化基础；若盈利兑现低于机构预期，则当前PB和前瞻PE均显示估值偏高。截至目前未能从公开、可交叉核实的近期机构研报中确认统一的最新目标价区间，网络出现的45—68元区间不纳入核心估值结论。</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2026年9月未检索到新的重大公告</w:t>
      </w:r>
    </w:p>
    <w:p>
      <w:pPr>
        <w:spacing w:after="160" w:line="300"/>
      </w:pPr>
      <w:r>
        <w:rPr>
          <w:sz w:val="22"/>
          <w:szCs w:val="22"/>
        </w:rPr>
        <w:t xml:space="preserve">截至2026年9月13日，未检索到公司在上海证券交易所公告系统披露新的重大业绩预告、股份回购、控股股东增减持、重大并购重组或重大监管处罚公告。9月公开信息主要涉及软件著作权登记和ESG评级等第三方平台信息，暂未见公司作为重大事项单独披露。</w:t>
      </w:r>
    </w:p>
    <w:p>
      <w:pPr>
        <w:pStyle w:val="Heading2"/>
        <w:spacing w:after="120" w:before="240"/>
      </w:pPr>
      <w:r>
        <w:rPr>
          <w:b/>
          <w:bCs/>
          <w:color w:val="2E74B5"/>
          <w:sz w:val="24"/>
          <w:szCs w:val="24"/>
        </w:rPr>
        <w:t xml:space="preserve">4.2 2026年半年度业绩：收入下降但亏损明显收窄</w:t>
      </w:r>
    </w:p>
    <w:p>
      <w:pPr>
        <w:spacing w:after="160" w:line="300"/>
      </w:pPr>
      <w:r>
        <w:rPr>
          <w:sz w:val="22"/>
          <w:szCs w:val="22"/>
        </w:rPr>
        <w:t xml:space="preserve">公司于2026年8月26日披露半年度报告。2026年上半年实现营业收入17.92亿元，同比下降20.05%；归属于上市公司股东的净利润亏损1,240.19万元，上年同期亏损7,452.63万元，同比减亏6,212.43万元；扣除非经常性损益后的净利润亏损2,558.05万元，上年同期亏损7,675.37万元；基本每股收益为-0.01元。业绩预告与实际数据基本一致，但公司仍处于亏损状态。</w:t>
      </w:r>
    </w:p>
    <w:p>
      <w:pPr>
        <w:pStyle w:val="Heading2"/>
        <w:spacing w:after="120" w:before="240"/>
      </w:pPr>
      <w:r>
        <w:rPr>
          <w:b/>
          <w:bCs/>
          <w:color w:val="2E74B5"/>
          <w:sz w:val="24"/>
          <w:szCs w:val="24"/>
        </w:rPr>
        <w:t xml:space="preserve">4.3 经营现金流仍为大额净流出</w:t>
      </w:r>
    </w:p>
    <w:p>
      <w:pPr>
        <w:spacing w:after="160" w:line="300"/>
      </w:pPr>
      <w:r>
        <w:rPr>
          <w:sz w:val="22"/>
          <w:szCs w:val="22"/>
        </w:rPr>
        <w:t xml:space="preserve">2026年上半年公司经营活动现金流量净额为-9.13亿元，上年同期为-8.87亿元。尽管归母净利润同比减亏，但营业收入同比下降，经营现金流未明显改善，减亏不等同于主营业务经营质量已经恢复。</w:t>
      </w:r>
    </w:p>
    <w:p>
      <w:pPr>
        <w:pStyle w:val="Heading2"/>
        <w:spacing w:after="120" w:before="240"/>
      </w:pPr>
      <w:r>
        <w:rPr>
          <w:b/>
          <w:bCs/>
          <w:color w:val="2E74B5"/>
          <w:sz w:val="24"/>
          <w:szCs w:val="24"/>
        </w:rPr>
        <w:t xml:space="preserve">4.4 闲置募集资金现金管理规模为15亿元</w:t>
      </w:r>
    </w:p>
    <w:p>
      <w:pPr>
        <w:spacing w:after="160" w:line="300"/>
      </w:pPr>
      <w:r>
        <w:rPr>
          <w:sz w:val="22"/>
          <w:szCs w:val="22"/>
        </w:rPr>
        <w:t xml:space="preserve">2026年7月30日，公司董事会审议通过使用部分暂时闲置募集资金进行现金管理；2026年8月4日披露进展公告，投资品种包括大额存单、定期存款，投资金额为人民币150,000万元，即15亿元。第三方公告摘要显示，部分安排包括2026年7月31日认购5.5亿元、预计年化收益率1.00%、期限180天的定期存款，以及5,000万元、预计年化收益率0.80%、期限90天的定期存款。具体产品组合和余额应以公司原始公告及后续到期赎回公告为准。</w:t>
      </w:r>
    </w:p>
    <w:p>
      <w:pPr>
        <w:pStyle w:val="Heading2"/>
        <w:spacing w:after="120" w:before="240"/>
      </w:pPr>
      <w:r>
        <w:rPr>
          <w:b/>
          <w:bCs/>
          <w:color w:val="2E74B5"/>
          <w:sz w:val="24"/>
          <w:szCs w:val="24"/>
        </w:rPr>
        <w:t xml:space="preserve">4.5 与关联方对中软金投同比例减资</w:t>
      </w:r>
    </w:p>
    <w:p>
      <w:pPr>
        <w:spacing w:after="160" w:line="300"/>
      </w:pPr>
      <w:r>
        <w:rPr>
          <w:sz w:val="22"/>
          <w:szCs w:val="22"/>
        </w:rPr>
        <w:t xml:space="preserve">2026年7月30日，公司披露与关联方对共同投资企业减资的关联交易公告。减资后，中软金投出资额由31,134.78万元减少至4,824.57万元；公司认缴出资额由10,377.22万元减少至1,608.03万元，减少8,769.19万元；中软金诚认缴出资额由3.11万元减少至0.48万元。各合伙人持股比例不变。公司称，减资完成后合并报表范围不会发生变化，不会对整体业务发展和盈利水平产生重大影响，也不构成重大资产重组。</w:t>
      </w:r>
    </w:p>
    <w:p>
      <w:pPr>
        <w:pStyle w:val="Heading2"/>
        <w:spacing w:after="120" w:before="240"/>
      </w:pPr>
      <w:r>
        <w:rPr>
          <w:b/>
          <w:bCs/>
          <w:color w:val="2E74B5"/>
          <w:sz w:val="24"/>
          <w:szCs w:val="24"/>
        </w:rPr>
        <w:t xml:space="preserve">4.6 资产处置及减值转回带来阶段性收益</w:t>
      </w:r>
    </w:p>
    <w:p>
      <w:pPr>
        <w:spacing w:after="160" w:line="300"/>
      </w:pPr>
      <w:r>
        <w:rPr>
          <w:sz w:val="22"/>
          <w:szCs w:val="22"/>
        </w:rPr>
        <w:t xml:space="preserve">2026年8月26日，公司披露多项资产评估报告，涉及相关原材料、库存商品及存货类资产。结合半年度报告，报告期内公司确认资产处置收益合计约1,193.80万元，其中固定资产处置收益约1,123.98万元、其他长期资产处置收益约69.82万元；同时确认部分应收款项减值准备转回约680.43万元。上述事项对上半年归母净利润形成一定正向影响，但具有非经常性或阶段性特征。</w:t>
      </w:r>
    </w:p>
    <w:p>
      <w:pPr>
        <w:pStyle w:val="Heading2"/>
        <w:spacing w:after="120" w:before="240"/>
      </w:pPr>
      <w:r>
        <w:rPr>
          <w:b/>
          <w:bCs/>
          <w:color w:val="2E74B5"/>
          <w:sz w:val="24"/>
          <w:szCs w:val="24"/>
        </w:rPr>
        <w:t xml:space="preserve">4.7 未发现新的回购及重要股东增减持公告</w:t>
      </w:r>
    </w:p>
    <w:p>
      <w:pPr>
        <w:spacing w:after="160" w:line="300"/>
      </w:pPr>
      <w:r>
        <w:rPr>
          <w:sz w:val="22"/>
          <w:szCs w:val="22"/>
        </w:rPr>
        <w:t xml:space="preserve">截至2026年9月13日，未检索到公司在2026年6月至9月期间新披露的重大股份回购方案、回购进展公告或新增回购注销公告。2026年半年度报告披露，截至2026年6月30日，公司股东户数为143,643户，较上一期减少6,556户。截至2026年3月31日，回购专用证券账户持有公司股份3,104,143股，占总股本约0.33%。截至本次检索日，未发现新的控股股东、实际控制人或持股5%以上股东增减持公告，但不能据此推断重要股东没有任何交易。</w:t>
      </w:r>
    </w:p>
    <w:p>
      <w:pPr>
        <w:pStyle w:val="Heading2"/>
        <w:spacing w:after="120" w:before="240"/>
      </w:pPr>
      <w:r>
        <w:rPr>
          <w:b/>
          <w:bCs/>
          <w:color w:val="2E74B5"/>
          <w:sz w:val="24"/>
          <w:szCs w:val="24"/>
        </w:rPr>
        <w:t xml:space="preserve">4.8 母公司因政府采购投标问题受到行政处罚</w:t>
      </w:r>
    </w:p>
    <w:p>
      <w:pPr>
        <w:spacing w:after="160" w:line="300"/>
      </w:pPr>
      <w:r>
        <w:rPr>
          <w:sz w:val="22"/>
          <w:szCs w:val="22"/>
        </w:rPr>
        <w:t xml:space="preserve">公司于2026年6月13日披露，母公司因部分销售业务违反招投标规定，于2026年6月12日收到财政部行政处罚决定书。根据公告及相关转述，财政部认定公司与其他供应商在投标文件中存在多处内容异常一致，构成政府采购领域恶意串通；处罚包括罚款合计约4.05万元、列入不良行为记录名单、在一年内禁止母公司参加政府采购活动并责令整改。公司称，禁止期内子公司仍可参与政府采购活动，按初步统计，2025年度母公司直接参与政府采购的业务收入约占公司整体营业收入11%，预计不会对整体生产经营产生重大不利影响。该事项仍是近期重点跟踪的合规风险。</w:t>
      </w:r>
    </w:p>
    <w:p>
      <w:pPr>
        <w:pStyle w:val="Heading2"/>
        <w:spacing w:after="120" w:before="240"/>
      </w:pPr>
      <w:r>
        <w:rPr>
          <w:b/>
          <w:bCs/>
          <w:color w:val="2E74B5"/>
          <w:sz w:val="24"/>
          <w:szCs w:val="24"/>
        </w:rPr>
        <w:t xml:space="preserve">4.9 暂未发现新增重大并购重组或控股权变化</w:t>
      </w:r>
    </w:p>
    <w:p>
      <w:pPr>
        <w:spacing w:after="160" w:line="300"/>
      </w:pPr>
      <w:r>
        <w:rPr>
          <w:sz w:val="22"/>
          <w:szCs w:val="22"/>
        </w:rPr>
        <w:t xml:space="preserve">截至2026年9月13日，未检索到公司在2026年9月新增重大并购、资产重组或控股权变化公告。近期与资本运作最相关的事项为2026年7月对中软金投实施同比例减资，性质上属于收缩共同投资企业出资规模、优化资金配置和资产结构，而非收购或扩张型并购。</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股票代码及简称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600536.SH，中国软件</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31.49元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-0.53元，跌幅-1.66%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31.88元/32.09元/31.01元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1343.73万股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4.2168亿元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1.59%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26.82~56.09元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约294.05亿元/约265.67亿元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1419.78倍/4.79倍</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约32.55元/33.21元/33.39元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收盘价31.49元低于三条均线，且MA5低于MA10和MA20，短期均线结构偏弱；33.3~33.4元为近期反弹首先需要收复的技术位置。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绿柱约0.16；近5个交易日绿柱翻色并放大</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短线动能偏弱。公开页面未同时提供完整DIF、DEA及历史计算序列，无法进一步确认具体金叉、死叉日期。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约50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处于中性区间，未进入超买或超卖区域；近5日RSI走弱，显示短线多头动能减退，但尚未形成典型极端超卖。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中轨约33.39元；20日收盘价标准差约1.08元；上轨约35.54元；下轨约31.23元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收盘价31.49元接近下轨但尚未有效跌破。若持续运行在31.2元附近或下方，需关注下轨失守及下行波动扩大；重新站回33.3~33.4元，弱势结构有望缓和。</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近期价格结构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8月18日收盘34.45元，单日上涨9.99%；8月19日盘中最高37.19元；9月11日收盘31.49元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8月18日至8月20日曾明显放量上涨，8月21日后冲高回落；9月8日至9月11日连续四个交易日收跌，短线走势转弱。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9月11日超大单净流入-513.73万元，大单-2650.49万元，中单-204.51万元，小单+3368.74万元；超大单与大单合计净流出约3164.22万元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当日表现为大资金流出、小单资金承接，尚未形成大资金回流信号。</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融资资金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截至2026年9月10日，融资余额约15.42亿元，占流通市值约5.71%；融资融券余额约15.53亿元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9月8日至9月10日融资余额由15.66亿元降至15.42亿元，融资资金总体略有撤出；若股价继续走弱，融资盘可能增加波动压力。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估值指标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动态市盈率1419.78倍；9月7日理杏仁PE-TTM为1514.02倍；扣非动态市盈率暂无有效数值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公司最近一期盈利规模较小、每股收益接近零，PE指标参考价值有限，不宜直接与盈利稳定的软件公司比较。</w:t>
            </w:r>
          </w:p>
        </w:tc>
      </w:tr>
    </w:tbl>
    <w:p>
      <w:pPr>
        <w:spacing w:before="200"/>
      </w:pPr>
    </w:p>
    <w:p>
      <w:pPr>
        <w:spacing w:after="160" w:line="300"/>
      </w:pPr>
      <w:r>
        <w:rPr>
          <w:sz w:val="22"/>
          <w:szCs w:val="22"/>
        </w:rPr>
        <w:t xml:space="preserve">截至2026年9月11日，中国软件收于31.49元，较52周高点56.09元回落约43.9%，较52周低点26.82元高约17.4%。股价低于MA5、MA10和MA20，MACD绿柱翻色并放大，近5日RSI走弱，短线技术结构偏弱；同时股价已接近布林下轨31.23元，但尚未有效跌破。近期5个交易日平均成交额约4.67亿元、平均换手率约1.70%，9月11日成交额4.22亿元、换手率1.59%，下跌过程中成交并未明显放大，更接近缩量调整。短线重点观察31.0~31.3元支撑、33.2~33.5元均线压力，以及价格突破是否获得成交额放大确认。</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风险提示：以下内容仅为基于截至2026年9月11日收盘数据的主观情景推演，不构成投资建议，也不代表对未来价格的确定性预测。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33.20~33.50元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对应MA10约33.21元、MA20约33.39元及9月7日至9月8日成交密集区。若有效站回，短线观察34.00~34.60元区域；若反复受阻，说明上方压力仍在。</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31.00~31.30元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对应9月11日最低价31.01元及布林下轨约31.23元。若获得承接，股价可能围绕31~33元震荡；若收盘有效跌破，短线调整结构可能进一步强化。</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30.40~30.80元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对应8月18日盘中低点30.40元及近期多次交易低位区域。若该区间被放量跌破，下方观察29.30~30.00元区域。</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为基于当前技术与资金面设置的主观启发式权重，不是统计概率）：观察区间约31.0~33.4元。触发条件为31.0~31.3元附近出现承接、成交额未持续放大，且股价无法有效突破33.3~33.5元；均线压制与布林下轨支撑可能形成区间拉锯。</w:t>
      </w:r>
    </w:p>
    <w:p>
      <w:pPr>
        <w:pStyle w:val="ListParagraph"/>
        <w:numPr>
          <w:ilvl w:val="0"/>
          <w:numId w:val="2"/>
        </w:numPr>
        <w:spacing w:after="80" w:line="280"/>
      </w:pPr>
      <w:r>
        <w:rPr>
          <w:sz w:val="22"/>
          <w:szCs w:val="22"/>
        </w:rPr>
        <w:t xml:space="preserve">偏弱下行（权重中等；为基于当前技术与资金面设置的主观启发式权重，不是统计概率）：观察区间约29.3~31.0元。触发条件为收盘有效跌破31.0元，并伴随单日成交额明显高于近期均值，或软件、信创板块同步走弱；若30.4~30.8元强支撑失守，观察29.3~30.0元区域。</w:t>
      </w:r>
    </w:p>
    <w:p>
      <w:pPr>
        <w:pStyle w:val="ListParagraph"/>
        <w:numPr>
          <w:ilvl w:val="0"/>
          <w:numId w:val="2"/>
        </w:numPr>
        <w:spacing w:after="80" w:line="280"/>
      </w:pPr>
      <w:r>
        <w:rPr>
          <w:sz w:val="22"/>
          <w:szCs w:val="22"/>
        </w:rPr>
        <w:t xml:space="preserve">反弹走强（权重偏低；为基于当前技术与资金面设置的主观启发式权重，不是统计概率）：观察区间约33.5~35.0元。触发条件为重新站上33.3~33.5元，且成交额连续放大至约6亿元或更高，同时MACD绿柱明显收缩或翻红；若进一步突破34.0~34.6元，观察向35元附近扩展的可能性。在缺乏放量确认前，单日反弹仍可能属于技术性修复。</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最近5个交易日为2026年9月7日至9月11日，成交额约3.25~5.45亿元，换手率约1.20%~1.94%；平均成交额约4.67亿元，平均换手率约1.70%。9月11日成交额约4.22亿元、换手率1.59%，主力资金按超大单与大单合计口径净流出约3164万元。8月19日和8月20日成交量分别约8568万股和6728万股，而9月11日约1344万股，当前并非高换手筹码快速重组阶段。股东结构方面，截至2026年6月30日、公告日期为2026年8月26日，前十大流通股东合计持有约34618.66万股，占流通股本约37.07%；中国电子有限公司与中国电子信息产业集团有限公司合计约占32.92%。前十大流通股东中同时出现沪股通、软件ETF、人工智能ETF、基本养老保险基金及高盛自有资金等机构或准机构资金，但单一国有股东占比很高，实际可交易筹码不等同于全部流通股本。上述股东数据距离2026年9月11日已有两个多月，期间筹码结构可能已经变化，不能视为实时持仓数据。就短期观察而言，当前成交额和换手率低于8月18日至8月21日高波动阶段，价格波动的量能确认程度有限；不同历史行情网站的成交量单位和换手率口径可能略有差异。</w:t>
      </w:r>
    </w:p>
    <w:p>
      <w:pPr>
        <w:spacing w:after="160" w:line="300"/>
      </w:pPr>
      <w:r>
        <w:rPr>
          <w:sz w:val="22"/>
          <w:szCs w:val="22"/>
        </w:rPr>
        <w:t xml:space="preserve">可检查的量能确认信号：若后续单日成交额持续放大至约6亿元以上，同时股价站回33.3~33.5元，可作为短线资金重新介入的观察信号；若跌破31元时成交额同步放大至6亿元以上，则需关注支撑失效和下行波动扩大。</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观察31.0~31.3元区域能否止跌，以及收盘价是否有效跌破布林下轨附近；以上为观察思路，非操作指令。</w:t>
      </w:r>
    </w:p>
    <w:p>
      <w:pPr>
        <w:pStyle w:val="ListParagraph"/>
        <w:numPr>
          <w:ilvl w:val="0"/>
          <w:numId w:val="2"/>
        </w:numPr>
        <w:spacing w:after="80" w:line="280"/>
      </w:pPr>
      <w:r>
        <w:rPr>
          <w:sz w:val="22"/>
          <w:szCs w:val="22"/>
        </w:rPr>
        <w:t xml:space="preserve">观察33.2~33.5元均线密集区能否重新收复，不以单纯盘中上穿作为确认；以上为观察思路，非操作指令。</w:t>
      </w:r>
    </w:p>
    <w:p>
      <w:pPr>
        <w:pStyle w:val="ListParagraph"/>
        <w:numPr>
          <w:ilvl w:val="0"/>
          <w:numId w:val="2"/>
        </w:numPr>
        <w:spacing w:after="80" w:line="280"/>
      </w:pPr>
      <w:r>
        <w:rPr>
          <w:sz w:val="22"/>
          <w:szCs w:val="22"/>
        </w:rPr>
        <w:t xml:space="preserve">观察主力资金是否由净流出转为超大单、大单同步净流入；以上为观察思路，非操作指令。</w:t>
      </w:r>
    </w:p>
    <w:p>
      <w:pPr>
        <w:pStyle w:val="ListParagraph"/>
        <w:numPr>
          <w:ilvl w:val="0"/>
          <w:numId w:val="2"/>
        </w:numPr>
        <w:spacing w:after="80" w:line="280"/>
      </w:pPr>
      <w:r>
        <w:rPr>
          <w:sz w:val="22"/>
          <w:szCs w:val="22"/>
        </w:rPr>
        <w:t xml:space="preserve">观察成交额能否持续放大至约6亿元以上，并与价格突破同步出现；以上为观察思路，非操作指令。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属于软件和信息技术服务业，细分覆盖基础软件、操作系统、党政信息化、行业解决方案、系统集成和IT服务。2025年我国软件和信息技术服务业软件业务收入为154,831亿元，同比增长13.2%；利润总额18,848亿元，同比增长7.3%；基础软件产品收入2,146亿元，同比增长11.1%；信息技术服务收入106,366亿元，同比增长14.7%。</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基础软件层：操作系统、数据库、中间件和安全软件技术壁垒、生态壁垒较高，竞争关键包括底层技术能力、软硬件适配数量、开发者生态、客户认证、项目经验和持续研发投入。</w:t>
      </w:r>
    </w:p>
    <w:p>
      <w:pPr>
        <w:pStyle w:val="ListParagraph"/>
        <w:numPr>
          <w:ilvl w:val="0"/>
          <w:numId w:val="2"/>
        </w:numPr>
        <w:spacing w:after="80" w:line="280"/>
      </w:pPr>
      <w:r>
        <w:rPr>
          <w:sz w:val="22"/>
          <w:szCs w:val="22"/>
        </w:rPr>
        <w:t xml:space="preserve">党政和关键行业解决方案层：竞争者包括央国企背景的软件集团和专业化民营IT服务商，竞争关键包括资质、客户关系、行业Know-how、项目交付能力、招投标能力和本地化服务网络。</w:t>
      </w:r>
    </w:p>
    <w:p>
      <w:pPr>
        <w:pStyle w:val="ListParagraph"/>
        <w:numPr>
          <w:ilvl w:val="0"/>
          <w:numId w:val="2"/>
        </w:numPr>
        <w:spacing w:after="80" w:line="280"/>
      </w:pPr>
      <w:r>
        <w:rPr>
          <w:sz w:val="22"/>
          <w:szCs w:val="22"/>
        </w:rPr>
        <w:t xml:space="preserve">系统集成与IT服务层：参与者数量较多、业务同质化相对明显，项目价格竞争较充分，毛利率通常低于标准化软件产品，回款和验收对现金流影响较大。</w:t>
      </w:r>
    </w:p>
    <w:p>
      <w:pPr>
        <w:pStyle w:val="ListParagraph"/>
        <w:numPr>
          <w:ilvl w:val="0"/>
          <w:numId w:val="2"/>
        </w:numPr>
        <w:spacing w:after="80" w:line="280"/>
      </w:pPr>
      <w:r>
        <w:rPr>
          <w:sz w:val="22"/>
          <w:szCs w:val="22"/>
        </w:rPr>
        <w:t xml:space="preserve">信创产业链层：中国软件处于国产CPU、操作系统、数据库、中间件、办公软件、整机和应用软件组成的生态中，在操作系统和党政核心应用领域具备较强位置，但集成和应用项目仍面临多家大型IT服务商竞争。</w:t>
      </w:r>
    </w:p>
    <w:p>
      <w:pPr>
        <w:pStyle w:val="ListParagraph"/>
        <w:numPr>
          <w:ilvl w:val="0"/>
          <w:numId w:val="2"/>
        </w:numPr>
        <w:spacing w:after="80" w:line="280"/>
      </w:pPr>
      <w:r>
        <w:rPr>
          <w:sz w:val="22"/>
          <w:szCs w:val="22"/>
        </w:rPr>
        <w:t xml:space="preserve">行业仍处于增长阶段，但2025年行业利润增速低于收入增速，技术迭代、人才成本、项目竞争和客户预算约束正在压缩部分企业的利润弹性。</w:t>
      </w:r>
    </w:p>
    <w:p>
      <w:pPr>
        <w:pStyle w:val="ListParagraph"/>
        <w:numPr>
          <w:ilvl w:val="0"/>
          <w:numId w:val="2"/>
        </w:numPr>
        <w:spacing w:after="80" w:line="280"/>
      </w:pPr>
      <w:r>
        <w:rPr>
          <w:sz w:val="22"/>
          <w:szCs w:val="22"/>
        </w:rPr>
        <w:t xml:space="preserve">公司没有披露操作系统在中国整体市场中的绝对销量、授权数量或具体市场份额，仅披露“连续14年位列中国Linux市场占有率第一”；该排名引用赛迪顾问统计，具体统计口径和市场边界尚需进一步核实。</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诚迈科技（300598）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国产操作系统、软件技术服务、移动智能终端软件和嵌入式软件</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中国软件在操作系统、信创适配和生态建设方面存在直接竞争；中国软件拥有中国电子央企背景、麒麟软件控制权以及较强的党政和关键行业客户资源，诚迈科技更偏软件技术服务、移动智能终端和嵌入式软件，并通过统信生态参与竞争。</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麒麟信安（688152）</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操作系统、信息安全和云计算，重点面向国家关键信息基础设施</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与中国软件在基础软件、操作系统和信创业务方面重合度较高；中国软件的产品规模、客户覆盖和操作系统生态更大，麒麟信安更加聚焦高可信操作系统、信息安全和云计算等细分方向。</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太极股份（002368）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党政、智慧城市、公共安全和行业企业数字化服务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与中国软件的党政核心应用解决方案业务高度重合；太极股份更偏政务云、智慧城市、数据服务和公共安全，中国软件在操作系统、基础软件和税务等党政核心应用方面更突出。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东软集团（600718）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综合性软件和IT解决方案，覆盖医疗健康、智能汽车互联、智慧城市和企业数字化转型</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双方在大型软件项目、系统集成和行业数字化解决方案方面存在部分竞争，但东软集团业务更加市场化和行业多元化，并非中国软件操作系统业务的完全直接竞争者。</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南天信息（000948）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金融科技、金融IT集成、软件开发与服务，并拓展数字政府、信创和人工智能</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双方在信创集成、政企数字化和软件开发服务领域存在部分交集；南天信息核心优势集中在金融科技、金融IT集成和云南区域数字化建设，中国软件更突出党政、财税、基础软件和信创操作系统。</w:t>
            </w:r>
          </w:p>
        </w:tc>
      </w:tr>
    </w:tbl>
    <w:p>
      <w:pPr>
        <w:spacing w:before="200"/>
      </w:pPr>
    </w:p>
    <w:p>
      <w:pPr>
        <w:spacing w:after="160" w:line="300"/>
      </w:pPr>
      <w:r>
        <w:rPr>
          <w:sz w:val="22"/>
          <w:szCs w:val="22"/>
        </w:rPr>
        <w:t xml:space="preserve">中国软件不存在完全同质的单一上市公司，其业务同时覆盖操作系统、基础软件和党政核心应用解决方案。相较于诚迈科技和麒麟信安，公司在麒麟操作系统控制权、党政及关键行业客户资源和基础软件生态方面更突出；相较于太极股份、东软集团和南天信息，公司自主基础软件属性更强，但其党政核心应用、系统集成和IT服务仍面临项目价格、交付、人力投入及回款周期压力。上述公司之间存在业务结构差异，比较属于业务可比和竞争关系分析，不应理解为严格的同业纯度排名。</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业绩恢复不及预期风险：2026年上半年营业收入同比下降20.05%，归母净利润仍亏损1,240.19万元，且不同机构对2026年归母净利润预测为0.36亿—0.74亿元，预测差异较大；若下半年收入确认或项目验收不及预期，全年盈利可能低于预测。</w:t>
      </w:r>
    </w:p>
    <w:p>
      <w:pPr>
        <w:pStyle w:val="ListParagraph"/>
        <w:numPr>
          <w:ilvl w:val="0"/>
          <w:numId w:val="2"/>
        </w:numPr>
        <w:spacing w:after="80" w:line="280"/>
      </w:pPr>
      <w:r>
        <w:rPr>
          <w:sz w:val="22"/>
          <w:szCs w:val="22"/>
        </w:rPr>
        <w:t xml:space="preserve">经营现金流与营运资金风险：2026年上半年经营活动现金流量净额为-9.13亿元；截至2025年末，应收账款与合同资产合计约15.15亿元，占2025年营业收入约29.70%，项目制业务的验收、结算和回款可能继续占用资金。</w:t>
      </w:r>
    </w:p>
    <w:p>
      <w:pPr>
        <w:pStyle w:val="ListParagraph"/>
        <w:numPr>
          <w:ilvl w:val="0"/>
          <w:numId w:val="2"/>
        </w:numPr>
        <w:spacing w:after="80" w:line="280"/>
      </w:pPr>
      <w:r>
        <w:rPr>
          <w:sz w:val="22"/>
          <w:szCs w:val="22"/>
        </w:rPr>
        <w:t xml:space="preserve">项目型业务盈利能力风险：2025年党政核心应用解决方案收入同比下降7.72%，平均毛利率仅23.56%，低于基础软件业务的81.13%；该业务受到招投标竞争、项目实施成本、验收节点和客户预算约束影响，收入下滑或项目毛利率波动可能拖累整体盈利。</w:t>
      </w:r>
    </w:p>
    <w:p>
      <w:pPr>
        <w:pStyle w:val="ListParagraph"/>
        <w:numPr>
          <w:ilvl w:val="0"/>
          <w:numId w:val="2"/>
        </w:numPr>
        <w:spacing w:after="80" w:line="280"/>
      </w:pPr>
      <w:r>
        <w:rPr>
          <w:sz w:val="22"/>
          <w:szCs w:val="22"/>
        </w:rPr>
        <w:t xml:space="preserve">高估值风险：截至2026年9月11日收盘价31.49元，公司动态市盈率约1,419.78倍，PB约4.79倍；由于当前盈利规模较小，估值对未来利润快速兑现依赖较高，若盈利修复速度低于预期，估值波动压力可能加大。</w:t>
      </w:r>
    </w:p>
    <w:p>
      <w:pPr>
        <w:pStyle w:val="ListParagraph"/>
        <w:numPr>
          <w:ilvl w:val="0"/>
          <w:numId w:val="2"/>
        </w:numPr>
        <w:spacing w:after="80" w:line="280"/>
      </w:pPr>
      <w:r>
        <w:rPr>
          <w:sz w:val="22"/>
          <w:szCs w:val="22"/>
        </w:rPr>
        <w:t xml:space="preserve">合规与政府采购风险：公司母公司因部分销售业务被财政部认定存在政府采购恶意串通，受到约4.05万元罚款、列入不良行为记录名单，并被禁止在一年内参加政府采购活动；尽管公司称子公司仍可参与且相关业务约占2025年整体营业收入11%，该事项仍可能影响母公司直接参与项目及后续合规管理。</w:t>
      </w:r>
    </w:p>
    <w:p>
      <w:pPr>
        <w:pStyle w:val="ListParagraph"/>
        <w:numPr>
          <w:ilvl w:val="0"/>
          <w:numId w:val="2"/>
        </w:numPr>
        <w:spacing w:after="80" w:line="280"/>
      </w:pPr>
      <w:r>
        <w:rPr>
          <w:sz w:val="22"/>
          <w:szCs w:val="22"/>
        </w:rPr>
        <w:t xml:space="preserve">客户集中与关联交易风险：2025年前五名客户销售额占年度销售总额36.85%，关联方销售占比21.96%；主要客户包含中国电子信息产业集团有限公司等关联方，客户及集团生态集中度较高，若重点客户采购节奏、结算安排或关联业务规模发生变化，可能影响收入和回款。</w:t>
      </w:r>
    </w:p>
    <w:p>
      <w:pPr>
        <w:pStyle w:val="ListParagraph"/>
        <w:numPr>
          <w:ilvl w:val="0"/>
          <w:numId w:val="2"/>
        </w:numPr>
        <w:spacing w:after="80" w:line="280"/>
      </w:pPr>
      <w:r>
        <w:rPr>
          <w:sz w:val="22"/>
          <w:szCs w:val="22"/>
        </w:rPr>
        <w:t xml:space="preserve">研发投入与资本化风险：2025年研发投入11.42亿元，占营业收入22.38%，其中资本化研发投入4.17亿元；持续高研发投入有助于操作系统和基础软件生态建设，但若产品商业化、生态适配或收入转化不及预期，可能加重期间费用压力，并带来相关资产减值风险。</w:t>
      </w:r>
    </w:p>
    <w:p>
      <w:pPr>
        <w:pStyle w:val="ListParagraph"/>
        <w:numPr>
          <w:ilvl w:val="0"/>
          <w:numId w:val="2"/>
        </w:numPr>
        <w:spacing w:after="80" w:line="280"/>
      </w:pPr>
      <w:r>
        <w:rPr>
          <w:sz w:val="22"/>
          <w:szCs w:val="22"/>
        </w:rPr>
        <w:t xml:space="preserve">技术面与融资交易波动风险：截至2026年9月11日，股价低于MA5、MA10和MA20，超大单与大单合计净流出约3,164万元；融资余额约15.42亿元，占流通市值约5.71%，若股价继续走弱，融资资金撤出可能放大短期价格波动。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长期增长基础来自中国电子体系背景、麒麟软件控制权、操作系统知识产权及中央部委、地方政府和央国企客户资源。基础软件业务保持增长且具备较高毛利率，若高毛利产品收入占比持续提升，同时党政核心应用解决方案逐步改善项目盈利能力，整体利润率和盈利质量有望继续修复。机构预测显示，2026—2028年归母净利润预测区间存在较大差异，反映市场对盈利兑现节奏仍缺乏统一判断。</w:t>
      </w:r>
    </w:p>
    <w:p>
      <w:pPr>
        <w:spacing w:after="160" w:line="300"/>
      </w:pPr>
      <w:r>
        <w:rPr>
          <w:sz w:val="22"/>
          <w:szCs w:val="22"/>
        </w:rPr>
        <w:t xml:space="preserve">短期经营表现仍面临较大不确定性。2026年上半年收入下降、经营现金流大额净流出，短期借款增至12.71亿元；公司部分重点客户结算集中于下半年，全年业绩对下半年收入确认、项目验收和回款进度较为敏感。当前市值约294亿元，静态及TTM市盈率因盈利规模较小而失真，但PB约4.79倍、前瞻估值亦较高，若盈利低于预期，估值消化压力可能持续。</w:t>
      </w:r>
    </w:p>
    <w:p>
      <w:pPr>
        <w:spacing w:after="160" w:line="300"/>
      </w:pPr>
      <w:r>
        <w:rPr>
          <w:sz w:val="22"/>
          <w:szCs w:val="22"/>
        </w:rPr>
        <w:t xml:space="preserve">后续应重点跟踪基础软件收入和毛利率能否延续提升、党政核心应用解决方案是否止跌、经营现金流能否改善，以及研发投入、项目交付和客户回款对利润的实际影响。同时，母公司政府采购处罚、关联方交易及客户集中度等因素，也需要结合后续公告和财务数据持续评估。</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中国软件(600536)_公司公告_中国软件：2025年年度报告新浪财经_新浪网 — https://money.finance.sina.com.cn/corp/view/vCB_AllBulletinDetail.php?id=12167681&amp;stockid=600536</w:t>
      </w:r>
    </w:p>
    <w:p>
      <w:pPr>
        <w:spacing w:after="200"/>
      </w:pPr>
      <w:r>
        <w:rPr>
          <w:i/>
          <w:iCs/>
          <w:color w:val="595959"/>
          <w:sz w:val="18"/>
          <w:szCs w:val="18"/>
        </w:rPr>
        <w:t xml:space="preserve">中国软件(600536) - 基本面研究报告 - 爱股网 — https://www.iguuu.com/stock/600536/report?utm_source=openai</w:t>
      </w:r>
    </w:p>
    <w:p>
      <w:pPr>
        <w:spacing w:after="200"/>
      </w:pPr>
      <w:r>
        <w:rPr>
          <w:i/>
          <w:iCs/>
          <w:color w:val="595959"/>
          <w:sz w:val="18"/>
          <w:szCs w:val="18"/>
        </w:rPr>
        <w:t xml:space="preserve">中国软件(600536)：自主软件毛利率攀升 麒麟软件营收、利润双双向好__新浪财经_新浪网 — https://stock.finance.sina.com.cn/stock/go.php/vReport_Show/kind/search/rptid/799597872502/index.phtml?utm_source=openai</w:t>
      </w:r>
    </w:p>
    <w:p>
      <w:pPr>
        <w:spacing w:after="200"/>
      </w:pPr>
      <w:r>
        <w:rPr>
          <w:i/>
          <w:iCs/>
          <w:color w:val="595959"/>
          <w:sz w:val="18"/>
          <w:szCs w:val="18"/>
        </w:rPr>
        <w:t xml:space="preserve">中国软件与技术服务股份有限公司　　2024 年度向特定对象发行 A 股股票募集说明书 — https://static.sse.com.cn/stock/disclosure/announcement/c/202503/600536_20250321_WQMR.pdf?utm_source=openai</w:t>
      </w:r>
    </w:p>
    <w:p>
      <w:pPr>
        <w:spacing w:after="200"/>
      </w:pPr>
      <w:r>
        <w:rPr>
          <w:i/>
          <w:iCs/>
          <w:color w:val="595959"/>
          <w:sz w:val="18"/>
          <w:szCs w:val="18"/>
        </w:rPr>
        <w:t xml:space="preserve">太极股份(002368)_公司公告_太极股份：2025年年度报告摘要新浪财经_新浪网 — https://money.finance.sina.com.cn/corp/view/vCB_AllBulletinDetail.php?id=12289704&amp;stockid=002368&amp;utm_source=openai</w:t>
      </w:r>
    </w:p>
    <w:p>
      <w:pPr>
        <w:spacing w:after="200"/>
      </w:pPr>
      <w:r>
        <w:rPr>
          <w:i/>
          <w:iCs/>
          <w:color w:val="595959"/>
          <w:sz w:val="18"/>
          <w:szCs w:val="18"/>
        </w:rPr>
        <w:t xml:space="preserve">东软集团(600718)_公司公告_东软集团：2025年年度报告新浪财经_新浪网 — https://money.finance.sina.com.cn/corp/view/vCB_AllBulletinDetail.php?id=12149728&amp;stockid=600718&amp;utm_source=openai</w:t>
      </w:r>
    </w:p>
    <w:p>
      <w:pPr>
        <w:spacing w:after="200"/>
      </w:pPr>
      <w:r>
        <w:rPr>
          <w:i/>
          <w:iCs/>
          <w:color w:val="595959"/>
          <w:sz w:val="18"/>
          <w:szCs w:val="18"/>
        </w:rPr>
        <w:t xml:space="preserve">南天信息(000948)_公司公告_南天信息：2025年年度报告新浪财经_新浪网 — https://money.finance.sina.com.cn/corp/view/vCB_AllBulletinDetail.php?id=12122236&amp;stockid=000948&amp;utm_source=openai</w:t>
      </w:r>
    </w:p>
    <w:p>
      <w:pPr>
        <w:spacing w:after="200"/>
      </w:pPr>
      <w:r>
        <w:rPr>
          <w:i/>
          <w:iCs/>
          <w:color w:val="595959"/>
          <w:sz w:val="18"/>
          <w:szCs w:val="18"/>
        </w:rPr>
        <w:t xml:space="preserve">中国软件(600536)_公司公告_中国软件：《中国软件2026年半年度报告》新浪财经_新浪网 — https://money.finance.sina.com.cn/corp/view/vCB_AllBulletinDetail.php?id=12536020&amp;stockid=600536</w:t>
      </w:r>
    </w:p>
    <w:p>
      <w:pPr>
        <w:spacing w:after="200"/>
      </w:pPr>
      <w:r>
        <w:rPr>
          <w:i/>
          <w:iCs/>
          <w:color w:val="595959"/>
          <w:sz w:val="18"/>
          <w:szCs w:val="18"/>
        </w:rPr>
        <w:t xml:space="preserve">中国软件: 中国软件2025年年度报告_股票频道_证券之星 — https://stock.stockstar.com/notice/SN2026042400007159.shtml?utm_source=openai</w:t>
      </w:r>
    </w:p>
    <w:p>
      <w:pPr>
        <w:spacing w:after="200"/>
      </w:pPr>
      <w:r>
        <w:rPr>
          <w:i/>
          <w:iCs/>
          <w:color w:val="595959"/>
          <w:sz w:val="18"/>
          <w:szCs w:val="18"/>
        </w:rPr>
        <w:t xml:space="preserve">中国软件(600536) 盈利预测_F10_同花顺金融服务网 — https://basic.10jqka.com.cn/48/600536/worth.html</w:t>
      </w:r>
    </w:p>
    <w:p>
      <w:pPr>
        <w:spacing w:after="200"/>
      </w:pPr>
      <w:r>
        <w:rPr>
          <w:i/>
          <w:iCs/>
          <w:color w:val="595959"/>
          <w:sz w:val="18"/>
          <w:szCs w:val="18"/>
        </w:rPr>
        <w:t xml:space="preserve">中国软件(600536)2026年半年报点评：国产操作系统龙头 聚焦核心主业长期壁垒深厚__新浪财经_新浪网 — https://stock.finance.sina.com.cn/stock/go.php/vReport_Show/kind/search/rptid/842261024202/index.phtml</w:t>
      </w:r>
    </w:p>
    <w:p>
      <w:pPr>
        <w:spacing w:after="200"/>
      </w:pPr>
      <w:r>
        <w:rPr>
          <w:i/>
          <w:iCs/>
          <w:color w:val="595959"/>
          <w:sz w:val="18"/>
          <w:szCs w:val="18"/>
        </w:rPr>
        <w:t xml:space="preserve">中国软件(600536)股票历史数据:历史行情,价格,走势图表_英为财情Investing.com — https://cn.investing.com/equities/china-software-historical-data?utm_source=openai</w:t>
      </w:r>
    </w:p>
    <w:p>
      <w:pPr>
        <w:spacing w:after="200"/>
      </w:pPr>
      <w:r>
        <w:rPr>
          <w:i/>
          <w:iCs/>
          <w:color w:val="595959"/>
          <w:sz w:val="18"/>
          <w:szCs w:val="18"/>
        </w:rPr>
        <w:t xml:space="preserve">中国软件(600536)_股票行情，行情首页_中财网 — https://quote.cfi.cn/quote1257_600536.html?utm_source=openai</w:t>
      </w:r>
    </w:p>
    <w:p>
      <w:pPr>
        <w:spacing w:after="200"/>
      </w:pPr>
      <w:r>
        <w:rPr>
          <w:i/>
          <w:iCs/>
          <w:color w:val="595959"/>
          <w:sz w:val="18"/>
          <w:szCs w:val="18"/>
        </w:rPr>
        <w:t xml:space="preserve">中国软件(600536)_公司公告_中国软件：2025年年度报告摘要新浪财经_新浪网 — https://money.finance.sina.com.cn/corp/view/vCB_AllBulletinDetail.php?id=12167667&amp;stockid=600536&amp;utm_source=openai</w:t>
      </w:r>
    </w:p>
    <w:p>
      <w:pPr>
        <w:spacing w:after="200"/>
      </w:pPr>
      <w:r>
        <w:rPr>
          <w:i/>
          <w:iCs/>
          <w:color w:val="595959"/>
          <w:sz w:val="18"/>
          <w:szCs w:val="18"/>
        </w:rPr>
        <w:t xml:space="preserve">中国软件(600536)_新闻动态_证券之星 — https://stock.quote.stockstar.com/info_600536.shtml?utm_source=openai</w:t>
      </w:r>
    </w:p>
    <w:p>
      <w:pPr>
        <w:spacing w:after="200"/>
      </w:pPr>
      <w:r>
        <w:rPr>
          <w:i/>
          <w:iCs/>
          <w:color w:val="595959"/>
          <w:sz w:val="18"/>
          <w:szCs w:val="18"/>
        </w:rPr>
        <w:t xml:space="preserve">中国软件(600536)公司公告_新浪财经_新浪网 — https://money.finance.sina.com.cn/corp/go.php/vCB_AllBulletin/stockid/600536.phtml?ftype=lsgg&amp;utm_source=openai</w:t>
      </w:r>
    </w:p>
    <w:p>
      <w:pPr>
        <w:spacing w:after="200"/>
      </w:pPr>
      <w:r>
        <w:rPr>
          <w:i/>
          <w:iCs/>
          <w:color w:val="595959"/>
          <w:sz w:val="18"/>
          <w:szCs w:val="18"/>
        </w:rPr>
        <w:t xml:space="preserve">中国软件(600536)-公告大事 — https://basic.10jqka.com.cn/mobile/600536/pubn.html?utm_source=openai</w:t>
      </w:r>
    </w:p>
    <w:p>
      <w:pPr>
        <w:spacing w:after="200"/>
      </w:pPr>
      <w:r>
        <w:rPr>
          <w:i/>
          <w:iCs/>
          <w:color w:val="595959"/>
          <w:sz w:val="18"/>
          <w:szCs w:val="18"/>
        </w:rPr>
        <w:t xml:space="preserve">中国软件(600536)_公司公告_中国软件：《中国软件2026年半年度报告》摘要新浪财经_新浪网 — https://money.finance.sina.com.cn/corp/view/vCB_AllBulletinDetail.php?id=12536019&amp;stockid=600536&amp;utm_source=openai</w:t>
      </w:r>
    </w:p>
    <w:p>
      <w:pPr>
        <w:spacing w:after="200"/>
      </w:pPr>
      <w:r>
        <w:rPr>
          <w:i/>
          <w:iCs/>
          <w:color w:val="595959"/>
          <w:sz w:val="18"/>
          <w:szCs w:val="18"/>
        </w:rPr>
        <w:t xml:space="preserve">中国软件：2026年上半年净利润同比减亏6212.43万元 _ 东方财富网 — https://wap.eastmoney.com/a/202608263854329379.html?utm_source=openai</w:t>
      </w:r>
    </w:p>
    <w:p>
      <w:pPr>
        <w:spacing w:after="200"/>
      </w:pPr>
      <w:r>
        <w:rPr>
          <w:i/>
          <w:iCs/>
          <w:color w:val="595959"/>
          <w:sz w:val="18"/>
          <w:szCs w:val="18"/>
        </w:rPr>
        <w:t xml:space="preserve">中国软件与技术服务股份有限公司关于使用部分暂时闲置募集资金进行现金管理的进展公告_新浪财经_新浪网 — https://finance.sina.com.cn/roll/2026-08-04/doc-inimamwc5750508.shtml?utm_source=openai</w:t>
      </w:r>
    </w:p>
    <w:p>
      <w:pPr>
        <w:spacing w:after="200"/>
      </w:pPr>
      <w:r>
        <w:rPr>
          <w:i/>
          <w:iCs/>
          <w:color w:val="595959"/>
          <w:sz w:val="18"/>
          <w:szCs w:val="18"/>
        </w:rPr>
        <w:t xml:space="preserve">中国软件_ 个股日历 _ 东方财富网_ 数据频道 — https://data.eastmoney.com/stockcalendar/600536.html?utm_source=openai</w:t>
      </w:r>
    </w:p>
    <w:p>
      <w:pPr>
        <w:spacing w:after="200"/>
      </w:pPr>
      <w:r>
        <w:rPr>
          <w:i/>
          <w:iCs/>
          <w:color w:val="595959"/>
          <w:sz w:val="18"/>
          <w:szCs w:val="18"/>
        </w:rPr>
        <w:t xml:space="preserve">中国软件(600536)_公司公告_中国软件：关于与关联方对共同投资企业减资的关联交易公告新浪财经_新浪网 — https://vip.stock.finance.sina.com.cn/corp/view/vCB_AllBulletinDetail.php?id=12468268&amp;stockid=600536&amp;utm_source=openai</w:t>
      </w:r>
    </w:p>
    <w:p>
      <w:pPr>
        <w:spacing w:after="200"/>
      </w:pPr>
      <w:r>
        <w:rPr>
          <w:i/>
          <w:iCs/>
          <w:color w:val="595959"/>
          <w:sz w:val="18"/>
          <w:szCs w:val="18"/>
        </w:rPr>
        <w:t xml:space="preserve">中国软件(600536)_公司公告_中国软件：《中国软件2026年半年度报告》新浪财经_新浪网 — https://money.finance.sina.com.cn/corp/view/vCB_AllBulletinDetail.php?id=12536020&amp;stockid=600536&amp;utm_source=openai</w:t>
      </w:r>
    </w:p>
    <w:p>
      <w:pPr>
        <w:spacing w:after="200"/>
      </w:pPr>
      <w:r>
        <w:rPr>
          <w:i/>
          <w:iCs/>
          <w:color w:val="595959"/>
          <w:sz w:val="18"/>
          <w:szCs w:val="18"/>
        </w:rPr>
        <w:t xml:space="preserve">证券代码：600536         证券简称：中国软件      公告编号：2026-015 — https://epaper.stcn.com/pic/202604/24/17b95f236247a5c80a02ce7e308da9aa.pdf?u_asig=953b8&amp;u_atoken=615bb38c40cc016160cf4ae7dfc6f80d&amp;utm_source=openai</w:t>
      </w:r>
    </w:p>
    <w:p>
      <w:pPr>
        <w:spacing w:after="200"/>
      </w:pPr>
      <w:r>
        <w:rPr>
          <w:i/>
          <w:iCs/>
          <w:color w:val="595959"/>
          <w:sz w:val="18"/>
          <w:szCs w:val="18"/>
        </w:rPr>
        <w:t xml:space="preserve">证券代码：600536 — https://pdf.dfcfw.com/pdf/H2_AN202606121823519295_1.pdf?utm_source=openai</w:t>
      </w:r>
    </w:p>
    <w:p>
      <w:pPr>
        <w:spacing w:after="200"/>
      </w:pPr>
      <w:r>
        <w:rPr>
          <w:i/>
          <w:iCs/>
          <w:color w:val="595959"/>
          <w:sz w:val="18"/>
          <w:szCs w:val="18"/>
        </w:rPr>
        <w:t xml:space="preserve">中国软件母公司因部分销售业务违反招投标规定被行政处罚 _ 东方财富网 — https://finance.eastmoney.com/a/202606123770166423.html?utm_source=openai</w:t>
      </w:r>
    </w:p>
    <w:p>
      <w:pPr>
        <w:spacing w:after="200"/>
      </w:pPr>
      <w:r>
        <w:rPr>
          <w:i/>
          <w:iCs/>
          <w:color w:val="595959"/>
          <w:sz w:val="18"/>
          <w:szCs w:val="18"/>
        </w:rPr>
        <w:t xml:space="preserve">中国软件(600536)_股票行情，行情首页_中财网 — https://quote.cfi.cn/quote.aspx?client=pc&amp;lm=outline&amp;stockid=1257</w:t>
      </w:r>
    </w:p>
    <w:p>
      <w:pPr>
        <w:spacing w:after="200"/>
      </w:pPr>
      <w:r>
        <w:rPr>
          <w:i/>
          <w:iCs/>
          <w:color w:val="595959"/>
          <w:sz w:val="18"/>
          <w:szCs w:val="18"/>
        </w:rPr>
        <w:t xml:space="preserve">中国软件(600536)_股票行情，行情首页_中财网 — https://quote.cfi.cn/quote.aspx?client=pc&amp;lm=outline&amp;stockid=1257&amp;utm_source=openai</w:t>
      </w:r>
    </w:p>
    <w:p>
      <w:pPr>
        <w:spacing w:after="200"/>
      </w:pPr>
      <w:r>
        <w:rPr>
          <w:i/>
          <w:iCs/>
          <w:color w:val="595959"/>
          <w:sz w:val="18"/>
          <w:szCs w:val="18"/>
        </w:rPr>
        <w:t xml:space="preserve">中国软件(600536)市盈率|估值|基本面 - 理杏仁 — https://www.lixinger.com/equity/company/detail/sh/600536/600536/fundamental/valuation/pe-ttm</w:t>
      </w:r>
    </w:p>
    <w:p>
      <w:pPr>
        <w:spacing w:after="200"/>
      </w:pPr>
      <w:r>
        <w:rPr>
          <w:i/>
          <w:iCs/>
          <w:color w:val="595959"/>
          <w:sz w:val="18"/>
          <w:szCs w:val="18"/>
        </w:rPr>
        <w:t xml:space="preserve">中国软件(600536)股票历史数据:历史行情,价格,走势图表_英为财情Investing.com — https://cn.investing.com/equities/china-software-historical-data</w:t>
      </w:r>
    </w:p>
    <w:p>
      <w:pPr>
        <w:spacing w:after="200"/>
      </w:pPr>
      <w:r>
        <w:rPr>
          <w:i/>
          <w:iCs/>
          <w:color w:val="595959"/>
          <w:sz w:val="18"/>
          <w:szCs w:val="18"/>
        </w:rPr>
        <w:t xml:space="preserve">中国软件（600536）走势解读｜未命中形态 | Dingcrab 看盘搭子 — https://huahuastore.com/asset/cn_equity_sh_600536</w:t>
      </w:r>
    </w:p>
    <w:p>
      <w:pPr>
        <w:spacing w:after="200"/>
      </w:pPr>
      <w:r>
        <w:rPr>
          <w:i/>
          <w:iCs/>
          <w:color w:val="595959"/>
          <w:sz w:val="18"/>
          <w:szCs w:val="18"/>
        </w:rPr>
        <w:t xml:space="preserve">中国软件(600536)_资金流向_证券之星 — https://stock.quote.stockstar.com/capital_600536.shtml?utm_source=openai</w:t>
      </w:r>
    </w:p>
    <w:p>
      <w:pPr>
        <w:spacing w:after="200"/>
      </w:pPr>
      <w:r>
        <w:rPr>
          <w:i/>
          <w:iCs/>
          <w:color w:val="595959"/>
          <w:sz w:val="18"/>
          <w:szCs w:val="18"/>
        </w:rPr>
        <w:t xml:space="preserve">中国软件(600536)个股资金流向查询_个股行情_同花顺财经 — https://stockpage.10jqka.com.cn/600536/index/</w:t>
      </w:r>
    </w:p>
    <w:p>
      <w:pPr>
        <w:spacing w:after="200"/>
      </w:pPr>
      <w:r>
        <w:rPr>
          <w:i/>
          <w:iCs/>
          <w:color w:val="595959"/>
          <w:sz w:val="18"/>
          <w:szCs w:val="18"/>
        </w:rPr>
        <w:t xml:space="preserve">中国软件 (600536) - 历史交易数据 | 打板客网 — https://dabanke.com/hangqing-600536.html?utm_source=openai</w:t>
      </w:r>
    </w:p>
    <w:p>
      <w:pPr>
        <w:spacing w:after="200"/>
      </w:pPr>
      <w:r>
        <w:rPr>
          <w:i/>
          <w:iCs/>
          <w:color w:val="595959"/>
          <w:sz w:val="18"/>
          <w:szCs w:val="18"/>
        </w:rPr>
        <w:t xml:space="preserve">中国软件(600536) - 流通股股东 - 股票行情中心 - 搜狐证券 — https://q.stock.sohu.com/cn/600536/ltgd.shtml</w:t>
      </w:r>
    </w:p>
    <w:p>
      <w:pPr>
        <w:spacing w:after="200"/>
      </w:pPr>
      <w:r>
        <w:rPr>
          <w:i/>
          <w:iCs/>
          <w:color w:val="595959"/>
          <w:sz w:val="18"/>
          <w:szCs w:val="18"/>
        </w:rPr>
        <w:t xml:space="preserve">中国软件 (600536) - 历史交易数据 | 打板客网 — https://dabanke.com/hangqing-600536.html</w:t>
      </w:r>
    </w:p>
    <w:p>
      <w:pPr>
        <w:spacing w:after="200"/>
      </w:pPr>
      <w:r>
        <w:rPr>
          <w:i/>
          <w:iCs/>
          <w:color w:val="595959"/>
          <w:sz w:val="18"/>
          <w:szCs w:val="18"/>
        </w:rPr>
        <w:t xml:space="preserve">本报告由AI基于公开渠道信息自动检索、整理并生成，信息截至 截至2026年9月11日收盘；行情数据时间为2026年9月11日15:00:03。，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2026-09-13T11:40:59.941Z</dcterms:created>
  <dcterms:modified xsi:type="dcterms:W3CDTF">2026-09-13T11:40:59.941Z</dcterms:modified>
</cp:coreProperties>
</file>

<file path=docProps/custom.xml><?xml version="1.0" encoding="utf-8"?>
<Properties xmlns="http://schemas.openxmlformats.org/officeDocument/2006/custom-properties" xmlns:vt="http://schemas.openxmlformats.org/officeDocument/2006/docPropsVTypes"/>
</file>