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新疆赛里木现代农业股份有限公司（新赛股份） (600540)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行业：棉花农业与农产品加工供应链</w:t>
      </w:r>
    </w:p>
    <w:p>
      <w:pPr>
        <w:jc w:val="center"/>
      </w:pPr>
      <w:r>
        <w:rPr>
          <w:color w:val="595959"/>
          <w:sz w:val="22"/>
          <w:szCs w:val="22"/>
        </w:rPr>
        <w:t xml:space="preserve">报告日期：2026年9月13日</w:t>
      </w:r>
    </w:p>
    <w:p>
      <w:pPr>
        <w:jc w:val="center"/>
      </w:pPr>
      <w:r>
        <w:rPr>
          <w:color w:val="595959"/>
          <w:sz w:val="20"/>
          <w:szCs w:val="20"/>
        </w:rPr>
        <w:t xml:space="preserve">截至2026年9月11日收盘；股东结构数据截至2026年6月30日，公告日期为2026年8月27日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新赛股份2026年上半年经营表现明显改善：实现营业收入25.71亿元，同比增长77.15%；归属于上市公司股东的净利润1.2511亿元，同比增长1819.68%，扣非归母净利润为1.4665亿元，经营活动现金流量净额为24.20亿元。收入增长主要来自皮棉销售规模扩大及新赛生物蛋白科技公司收入增加，但同比高增幅包含上年同期低基数因素，全年盈利能否延续仍需观察。</w:t>
      </w:r>
    </w:p>
    <w:p>
      <w:pPr>
        <w:spacing w:after="160" w:line="300"/>
      </w:pPr>
      <w:r>
        <w:rPr>
          <w:sz w:val="22"/>
          <w:szCs w:val="22"/>
        </w:rPr>
        <w:t xml:space="preserve">公司核心业务仍是皮棉收购、加工与贸易，2025年皮棉收入占主营业务收入约79.42%，销售量同比增长121.75%；2026年上半年皮棉销售量较上年同期增加约7.31万吨，相关收入增加约11.77亿元。公司拥有14座轧花厂，自有产能约折合8.6万吨皮棉，但2025年皮棉销售量达到18.04万吨，较大部分规模来自贸易及外部合作经营，业务扩张对采购成本、库存管理、资金周转和购销价差较为敏感。</w:t>
      </w:r>
    </w:p>
    <w:p>
      <w:pPr>
        <w:spacing w:after="160" w:line="300"/>
      </w:pPr>
      <w:r>
        <w:rPr>
          <w:sz w:val="22"/>
          <w:szCs w:val="22"/>
        </w:rPr>
        <w:t xml:space="preserve">盈利质量仍具有波动性。2025年公司收入同比增长93.74%至30.12亿元，但归母净利润仍亏损1.4236亿元，主营业务综合毛利率约0.40%，皮棉毛利率为-0.43%；截至2025年末存货24.60亿元、预付款项5.15亿元，2025年经营活动现金流量净额为-13.17亿元。2026年上半年利润改善尚未充分证明皮棉主业已形成稳定、持续的正毛利模式。</w:t>
      </w:r>
    </w:p>
    <w:p>
      <w:pPr>
        <w:spacing w:after="160" w:line="300"/>
      </w:pPr>
      <w:r>
        <w:rPr>
          <w:sz w:val="22"/>
          <w:szCs w:val="22"/>
        </w:rPr>
        <w:t xml:space="preserve">近期股价和交易情绪波动显著。截至2026年9月11日收盘价为5.90元，当日跌停，较9月9日收盘价7.21元已连续回落；此前8月27日至9月9日股价快速上涨约57%，期间换手率多次超过30%。公司已提示短期涨幅过大、市场情绪过热及股价快速下跌风险，且截至相关公告披露时，中国证监会对公司涉嫌信息披露违法违规的立案调查仍在进行。</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600540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新赛股份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新疆双河市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2004年1月7日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注册资本及总股本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截至2025年12月31日，注册资本及总股本均为5.8138亿股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控股股东及实际控制人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属于新疆生产建设兵团国资体系</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主营经营活动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棉花收购、加工和销售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证监会行业分类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农林牧渔业中的农业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战略定位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“坚守农业，深耕棉花，规模增长、提升价值”，重点构建棉花“种植—加工—流通”全产业链</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皮棉业务：包括自产皮棉和贸易皮棉。自产皮棉由籽棉采购、轧花加工形成皮棉和棉籽等产品；贸易皮棉通过全国棉花交易市场或线下渠道采购后销售给纺织企业等下游客户。2025年收入23.79亿元，占主营业务收入约79.42%，销售量18.04万吨，同比增长121.75%。</w:t>
      </w:r>
    </w:p>
    <w:p>
      <w:pPr>
        <w:pStyle w:val="ListParagraph"/>
        <w:numPr>
          <w:ilvl w:val="0"/>
          <w:numId w:val="2"/>
        </w:numPr>
        <w:spacing w:after="80" w:line="280"/>
      </w:pPr>
      <w:r>
        <w:rPr>
          <w:sz w:val="22"/>
          <w:szCs w:val="22"/>
        </w:rPr>
        <w:t xml:space="preserve">棉籽精深加工业务：利用轧花环节产生的棉籽生产脱酚棉籽蛋白、棉籽油、棉短绒、棉壳等产品。2025年棉籽收入1.86亿元，三级棉油收入9694万元，棉蛋白收入1.91亿元；棉蛋白销售量7.15万吨，同比增长418.87%，棉油销售量1.47万吨，同比增长20.22%。</w:t>
      </w:r>
    </w:p>
    <w:p>
      <w:pPr>
        <w:pStyle w:val="ListParagraph"/>
        <w:numPr>
          <w:ilvl w:val="0"/>
          <w:numId w:val="2"/>
        </w:numPr>
        <w:spacing w:after="80" w:line="280"/>
      </w:pPr>
      <w:r>
        <w:rPr>
          <w:sz w:val="22"/>
          <w:szCs w:val="22"/>
        </w:rPr>
        <w:t xml:space="preserve">矿产加工业务：主要由正大钙业和聚鑫钙业等子公司开展，产品包括氧化钙、石灰石及脱硫剂，主要面向钢铁、建材和化工企业。2025年氧化钙/石灰石收入2999万元，销售量11.61万吨，同比增长62.30%。</w:t>
      </w:r>
    </w:p>
    <w:p>
      <w:pPr>
        <w:pStyle w:val="ListParagraph"/>
        <w:numPr>
          <w:ilvl w:val="0"/>
          <w:numId w:val="2"/>
        </w:numPr>
        <w:spacing w:after="80" w:line="280"/>
      </w:pPr>
      <w:r>
        <w:rPr>
          <w:sz w:val="22"/>
          <w:szCs w:val="22"/>
        </w:rPr>
        <w:t xml:space="preserve">商贸、仓储物流及其他业务：涉及皮棉、棉籽贸易，以及仓储物流、农产品运输等。2025年贸易皮棉收入12.36亿元，同比增长315.92%；新增21家外部轧花厂合作经营，合作经营皮棉销售量达到9.35万吨。</w:t>
      </w:r>
    </w:p>
    <w:p>
      <w:pPr>
        <w:pStyle w:val="ListParagraph"/>
        <w:numPr>
          <w:ilvl w:val="0"/>
          <w:numId w:val="2"/>
        </w:numPr>
        <w:spacing w:after="80" w:line="280"/>
      </w:pPr>
      <w:r>
        <w:rPr>
          <w:sz w:val="22"/>
          <w:szCs w:val="22"/>
        </w:rPr>
        <w:t xml:space="preserve">产能与资源：截至2025年拥有14座轧花厂，年生产能力约可容纳20万吨籽棉，折合皮棉产量约8.6万吨；自有轧花厂基本处于满产状态，实际销售规模还包括外部合作产能和皮棉贸易供应链。</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新赛股份位于棉花产业链中游偏上游的轧花加工和皮棉流通环节，并向棉籽蛋白、棉油等副产品深加工延伸。公司拥有新疆及兵团棉花区位、轧花厂网络、国资背景和供应链整合能力，但核心产品皮棉属于标准化大宗商品，整体定价权有限，业务呈现规模驱动、成本驱动和低毛利特征。</w:t>
      </w:r>
    </w:p>
    <w:p>
      <w:pPr>
        <w:pStyle w:val="ListParagraph"/>
        <w:numPr>
          <w:ilvl w:val="0"/>
          <w:numId w:val="2"/>
        </w:numPr>
        <w:spacing w:after="80" w:line="280"/>
      </w:pPr>
      <w:r>
        <w:rPr>
          <w:sz w:val="22"/>
          <w:szCs w:val="22"/>
        </w:rPr>
        <w:t xml:space="preserve">籽棉是棉花主业的核心投入，主要由棉花种植户、合作社及外部轧花企业提供，通常在每年9月至11月集中收购；采购价格基本随市场行情变化，公司不具备明显定价权。新疆轧花企业数量较多，存在抢收、抬价和产能过剩问题。</w:t>
      </w:r>
    </w:p>
    <w:p>
      <w:pPr>
        <w:pStyle w:val="ListParagraph"/>
        <w:numPr>
          <w:ilvl w:val="0"/>
          <w:numId w:val="2"/>
        </w:numPr>
        <w:spacing w:after="80" w:line="280"/>
      </w:pPr>
      <w:r>
        <w:rPr>
          <w:sz w:val="22"/>
          <w:szCs w:val="22"/>
        </w:rPr>
        <w:t xml:space="preserve">棉籽既是轧花业务副产品，也是棉籽蛋白等业务的主要原料，采购方式包括招标采购、询价采购和长期合作。棉籽价格受棉花产量、棉油、棉粕及豆粕价格影响，公司通常属于价格接受者。</w:t>
      </w:r>
    </w:p>
    <w:p>
      <w:pPr>
        <w:pStyle w:val="ListParagraph"/>
        <w:numPr>
          <w:ilvl w:val="0"/>
          <w:numId w:val="2"/>
        </w:numPr>
        <w:spacing w:after="80" w:line="280"/>
      </w:pPr>
      <w:r>
        <w:rPr>
          <w:sz w:val="22"/>
          <w:szCs w:val="22"/>
        </w:rPr>
        <w:t xml:space="preserve">氧化钙业务的主要原料为石灰石，同时需要能源、电力、运输和环保投入。公司通过多方询价、集中招标及争取电价优惠等方式降低成本，但未披露主要供应商集中度。</w:t>
      </w:r>
    </w:p>
    <w:p>
      <w:pPr>
        <w:pStyle w:val="ListParagraph"/>
        <w:numPr>
          <w:ilvl w:val="0"/>
          <w:numId w:val="2"/>
        </w:numPr>
        <w:spacing w:after="80" w:line="280"/>
      </w:pPr>
      <w:r>
        <w:rPr>
          <w:sz w:val="22"/>
          <w:szCs w:val="22"/>
        </w:rPr>
        <w:t xml:space="preserve">2025年农业业务成本中，原材料占成本的93.54%；工业业务成本中，原材料占比82.41%，显示公司成本端对原料价格和采购效率较为敏感。</w:t>
      </w:r>
    </w:p>
    <w:p>
      <w:pPr>
        <w:pStyle w:val="ListParagraph"/>
        <w:numPr>
          <w:ilvl w:val="0"/>
          <w:numId w:val="2"/>
        </w:numPr>
        <w:spacing w:after="80" w:line="280"/>
      </w:pPr>
      <w:r>
        <w:rPr>
          <w:sz w:val="22"/>
          <w:szCs w:val="22"/>
        </w:rPr>
        <w:t xml:space="preserve">公司轧花企业分布于南疆、北疆多个棉花主产区，具备一定原料采购半径和区域协同优势；但公司未披露可核实的棉花种植面积，也未披露前五大供应商采购占比，因此不能据此推导出明确的资源储量或供应商议价优势。</w:t>
      </w:r>
    </w:p>
    <w:p>
      <w:pPr>
        <w:pStyle w:val="ListParagraph"/>
        <w:numPr>
          <w:ilvl w:val="0"/>
          <w:numId w:val="2"/>
        </w:numPr>
        <w:spacing w:after="80" w:line="280"/>
      </w:pPr>
      <w:r>
        <w:rPr>
          <w:sz w:val="22"/>
          <w:szCs w:val="22"/>
        </w:rPr>
        <w:t xml:space="preserve">皮棉主要销售给纺纱、家纺和服装制造等纺织企业，客户通常参考期货、现货和基差定价。公司对单个客户的定价权有限，利润取决于采购成本、加工效率、质量等级、物流仓储、套期保值和购销价差。</w:t>
      </w:r>
    </w:p>
    <w:p>
      <w:pPr>
        <w:pStyle w:val="ListParagraph"/>
        <w:numPr>
          <w:ilvl w:val="0"/>
          <w:numId w:val="2"/>
        </w:numPr>
        <w:spacing w:after="80" w:line="280"/>
      </w:pPr>
      <w:r>
        <w:rPr>
          <w:sz w:val="22"/>
          <w:szCs w:val="22"/>
        </w:rPr>
        <w:t xml:space="preserve">棉蛋白主要销售给疆内饲料生产企业，棉油等产品面向油脂、饲料及相关农产品加工企业；该环节受到豆粕、菜粕等替代蛋白价格以及下游养殖行业景气度影响，2025年脱酚棉籽蛋白行业原料供应充足但加工利润空间仍然较窄。</w:t>
      </w:r>
    </w:p>
    <w:p>
      <w:pPr>
        <w:pStyle w:val="ListParagraph"/>
        <w:numPr>
          <w:ilvl w:val="0"/>
          <w:numId w:val="2"/>
        </w:numPr>
        <w:spacing w:after="80" w:line="280"/>
      </w:pPr>
      <w:r>
        <w:rPr>
          <w:sz w:val="22"/>
          <w:szCs w:val="22"/>
        </w:rPr>
        <w:t xml:space="preserve">氧化钙主要销售给钢铁、建材和化工企业，客户对价格较敏感，采购通常以现货和区域市场价格为基础。2025年钢铁、房地产和建材需求偏弱，行业存在区域产能分散、同质化竞争和价格承压问题。</w:t>
      </w:r>
    </w:p>
    <w:p>
      <w:pPr>
        <w:pStyle w:val="ListParagraph"/>
        <w:numPr>
          <w:ilvl w:val="0"/>
          <w:numId w:val="2"/>
        </w:numPr>
        <w:spacing w:after="80" w:line="280"/>
      </w:pPr>
      <w:r>
        <w:rPr>
          <w:sz w:val="22"/>
          <w:szCs w:val="22"/>
        </w:rPr>
        <w:t xml:space="preserve">客户集中度：2025年年报未披露前五大客户销售占比，也未单独披露贸易业务收入占营业收入超过10%的前五名客户，因此无法仅依据公开年报准确判断客户集中度。关于“客户通常为国内头部纺纱、家纺和服装制造企业”的表述属于业务描述，不等同于前五大客户名单或集中度数据。</w:t>
      </w:r>
    </w:p>
    <w:p>
      <w:pPr>
        <w:pStyle w:val="ListParagraph"/>
        <w:numPr>
          <w:ilvl w:val="0"/>
          <w:numId w:val="2"/>
        </w:numPr>
        <w:spacing w:after="80" w:line="280"/>
      </w:pPr>
      <w:r>
        <w:rPr>
          <w:sz w:val="22"/>
          <w:szCs w:val="22"/>
        </w:rPr>
        <w:t xml:space="preserve">行业结构上，皮棉及氧化钙等产品标准化程度较高，企业更接近大宗商品价格接受者；棉籽蛋白还面临豆粕、菜粕等替代品竞争，尚未形成稳定高利润壁垒。</w:t>
      </w:r>
    </w:p>
    <w:p>
      <w:pPr>
        <w:pStyle w:val="ListParagraph"/>
        <w:numPr>
          <w:ilvl w:val="0"/>
          <w:numId w:val="2"/>
        </w:numPr>
        <w:spacing w:after="80" w:line="280"/>
      </w:pPr>
      <w:r>
        <w:rPr>
          <w:sz w:val="22"/>
          <w:szCs w:val="22"/>
        </w:rPr>
        <w:t xml:space="preserve">截至2025年12月31日，应收账款2043万元，约占2025年营业收入的0.68%；存货24.60亿元，约占营业收入的81.66%；预付款项5.15亿元，约占营业收入的17.11%；应付账款1.72亿元，约占营业收入的5.71%；合同负债3.02亿元，约占营业收入的10.01%。应收账款较低，主要与先款后货、交易市场监管和现货结算模式有关；但存货及预付款占用显著，2025年经营活动现金流量净额为-13.17亿元，主要与业务量增长、购买商品支付现金增加有关。公司核心营运资金风险主要来自棉价波动、库存跌价、融资成本和资金周转，而非传统赊销形成的应收账款。</w:t>
      </w:r>
    </w:p>
    <w:p>
      <w:pPr>
        <w:pStyle w:val="ListParagraph"/>
        <w:numPr>
          <w:ilvl w:val="0"/>
          <w:numId w:val="2"/>
        </w:numPr>
        <w:spacing w:after="80" w:line="280"/>
      </w:pPr>
      <w:r>
        <w:rPr>
          <w:sz w:val="22"/>
          <w:szCs w:val="22"/>
        </w:rPr>
        <w:t xml:space="preserve">公司未披露前五大客户销售占比和前五大供应商采购占比；上述集中度数据缺失，无法准确判断客户或供应商集中风险。相关“国内头部纺纱、家纺和服装制造企业”表述来自公司业务描述，不等同于可核实的客户集中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主营业务综合毛利率2.51%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净利率数据缺失，研究纪要未提供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皮棉毛利率为-1.73%，棉籽和棉蛋白毛利率分别为16.21%和17.91%；皮棉仍处于低毛利状态，但棉籽及棉蛋白副产品利润相对较好。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主营业务综合毛利率-4.38%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净利率数据缺失，研究纪要未提供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皮棉毛利率为-0.95%，棉籽、棉蛋白及氧化钙/石灰石毛利率分别为-15.09%、-48.54%和-26.38%；产品价格下跌、库存和成本压力使加工环节利润明显恶化。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主营业务综合毛利率约0.40%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净利率数据缺失，研究纪要未提供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皮棉毛利率为-0.43%，棉籽为-3.54%，棉蛋白回升至2.80%，三级棉油提升至19.34%；销售及贸易规模扩大、棉蛋白出品率改善以及棉油和副产品价格及结构改善推动综合毛利率回升，但皮棉主业仍未形成稳定正毛利。</w:t>
            </w:r>
          </w:p>
        </w:tc>
      </w:tr>
    </w:tbl>
    <w:p>
      <w:pPr>
        <w:spacing w:before="200"/>
      </w:pPr>
    </w:p>
    <w:p>
      <w:pPr>
        <w:spacing w:after="160" w:line="300"/>
      </w:pPr>
      <w:r>
        <w:rPr>
          <w:sz w:val="22"/>
          <w:szCs w:val="22"/>
        </w:rPr>
        <w:t xml:space="preserve">公司处于棉花产业链中游偏上游的轧花加工与皮棉流通环节，兼有棉籽副产品深加工，整体属于中游加工和贸易的低毛利位置，而非具备品牌溢价或高技术壁垒的高毛利环节。进一步改善利润主要依赖籽棉采购与皮棉销售价差改善、轧花设备利用率和加工效率提升、棉籽蛋白及棉油等副产品综合利用率提高，以及库存周转、融资成本和期货套保管理改善；单纯扩大皮棉贸易规模并不必然带来利润率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25.71亿元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同比增长77.15%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归属于上市公司股东的净利润1.2511亿元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同比增长1819.68%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较2024年15.55亿元增长93.74%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归属于上市公司股东的净利润-1.4236亿元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较2024年-2.4399亿元亏损收窄约41.66%</w:t>
            </w:r>
          </w:p>
        </w:tc>
      </w:tr>
    </w:tbl>
    <w:p>
      <w:pPr>
        <w:spacing w:after="200"/>
      </w:pPr>
      <w:r>
        <w:rPr>
          <w:i/>
          <w:iCs/>
          <w:color w:val="595959"/>
          <w:sz w:val="18"/>
          <w:szCs w:val="18"/>
        </w:rPr>
        <w:t xml:space="preserve">2026年半年度报告于2026年8月27日披露，财务数据截至2026年6月30日，报告未经审计。2026年上半年扣除非经常性损益后的归母净利润为1.4665亿元，上年同期亏损3400.03万元；基本每股收益为0.2152元，上年同期为0.0112元。2025年度基本每股收益为-0.24元。</w:t>
      </w:r>
    </w:p>
    <w:p>
      <w:pPr>
        <w:spacing w:after="160" w:line="300"/>
      </w:pPr>
      <w:r>
        <w:rPr>
          <w:sz w:val="22"/>
          <w:szCs w:val="22"/>
        </w:rPr>
        <w:t xml:space="preserve">2026年上半年公司收入和利润均明显改善，收入增长主要来自皮棉业务规模扩大及新赛生物蛋白科技公司销售增长。皮棉销售数量较上年同期增加约7.31万吨，相关业务收入同比增加约11.77亿元；新赛生物蛋白科技公司实现收入约2.38亿元。同期经营活动产生的现金流量净额为24.20亿元，同比增长32.48%，但现金流规模显著高于净利润，仍需结合皮棉业务资金周转、存货及应收应付项目变化判断可持续性。公司2025年收入虽大幅增长，但仍未实现盈利，主营业务毛利率、费用率及存货和商品价格波动仍是利润表现的核心变量。2026年上半年归母净利润同比高增长存在上年同期低基数效应。</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本次检索，未发现可交叉核实的主流券商对新赛股份2026—2028年营业收入、归母净利润和EPS的公开一致预测。同花顺盈利预测页面显示本年度暂无机构做出业绩预测，2026年及2027年预测净利润和预测EPS均为空值；2028年机构预测数据未见披露。网络上个别自动化分析页面的目标价或预测数字未能确认来自正式券商研究报告，不纳入机构盈利预测口径。</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30.12亿元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归属于上市公司股东的净利润约-1.42亿元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较2024年亏损收窄约41.66%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约-0.24元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2026H1实际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约25.71亿元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归属于上市公司股东的净利润约1.25亿元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同比增长1819.68%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0.2152元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暂无可交叉核实的机构预测；2026年上半年EPS简单年化约0.4304元，但不属于机构预测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暂无可交叉核实的机构预测</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同花顺盈利预测页面汇总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暂无评级；近6个月内买入、增持、中性、减持、卖出评级数量均为0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截至本次检索</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未发现近6个月内主流券商发布且能够确认的最新正式评级及目标价；本报告不提供未经正式券商研报支持的目标价</w:t>
            </w:r>
          </w:p>
        </w:tc>
      </w:tr>
    </w:tbl>
    <w:p>
      <w:pPr>
        <w:spacing w:before="200"/>
      </w:pPr>
    </w:p>
    <w:p>
      <w:pPr>
        <w:spacing w:after="160" w:line="300"/>
      </w:pPr>
      <w:r>
        <w:rPr>
          <w:sz w:val="22"/>
          <w:szCs w:val="22"/>
        </w:rPr>
        <w:t xml:space="preserve">截至2026年9月11日收盘，股价为5.90元，总股本及流通股本约5.81亿股，总市值和流通市值均约34.30亿元；证券时报行情页面显示动态市盈率约13.71倍、动态市净率约7.33倍。按2026年上半年基本每股收益0.2152元简单年化，年化EPS约0.4304元，5.90元股价对应PE约13.7倍，但该口径基于上半年利润年化，不是基于已审计全年利润的静态PE。2026年半年报披露归属于上市公司股东的净资产为4.681亿元，同比上升36.48%；按约5.81亿股计算，每股净资产约0.81元，对应PB约7.3倍。理杏仁数据显示，截至2026年9月10日PB约8.147倍，处于公司自身历史PB分位约98.21%，高于历史中位数约4.199倍和80%分位数约6.211倍。不同平台PB存在差异，可能与估值日期、净资产口径、是否剔除商誉、复权处理及数据更新时间不同有关。由于2025年仍亏损，传统静态PE参考意义有限；当前估值主要依赖2026年上半年利润年化，而非全年及未来三年的正式机构预测。若下半年利润无法延续，估值可能重新表现为较高PB、较弱盈利支撑；若全年利润达到上半年简单年化水平，动态PE才具有一定解释力。</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持股5%以上股东减持，持股比例降至5%</w:t>
      </w:r>
    </w:p>
    <w:p>
      <w:pPr>
        <w:spacing w:after="160" w:line="300"/>
      </w:pPr>
      <w:r>
        <w:rPr>
          <w:sz w:val="22"/>
          <w:szCs w:val="22"/>
        </w:rPr>
        <w:t xml:space="preserve">2026年9月1日，中新建胡杨私募股权基金管理有限公司代表新疆中新建胡杨产业投资基金合伙企业（有限合伙），通过集中竞价方式减持新赛股份4,863,200股，占公司总股本的0.8365%。减持前持有33,932,051股，持股比例为5.8365%；减持后持有29,068,851股，持股比例降至5.00%。本次权益变动触及5%持股比例刻度，但未触发要约收购义务，也未导致公司控股股东或实际控制人发生变化。减持原因为基金运作需要，公告未披露减持成交均价。公告披露日期为2026年9月2日。</w:t>
      </w:r>
    </w:p>
    <w:p>
      <w:pPr>
        <w:pStyle w:val="Heading2"/>
        <w:spacing w:after="120" w:before="240"/>
      </w:pPr>
      <w:r>
        <w:rPr>
          <w:b/>
          <w:bCs/>
          <w:color w:val="2E74B5"/>
          <w:sz w:val="24"/>
          <w:szCs w:val="24"/>
        </w:rPr>
        <w:t xml:space="preserve">4.2 股价连续涨停，公司发布交易风险提示</w:t>
      </w:r>
    </w:p>
    <w:p>
      <w:pPr>
        <w:spacing w:after="160" w:line="300"/>
      </w:pPr>
      <w:r>
        <w:rPr>
          <w:sz w:val="22"/>
          <w:szCs w:val="22"/>
        </w:rPr>
        <w:t xml:space="preserve">公司于2026年9月3日披露股票交易风险提示公告。公司股票于2026年8月27日、8月28日、8月31日、9月1日和9月2日连续五个交易日涨停，期间累计涨幅为61.39%。公司提示股价短期涨幅较大，明显高于同期行业及上证指数涨幅，存在市场情绪过热、非理性炒作及股价快速下跌风险。公司表示主营业务、生产经营情况和经营环境与前期披露信息相比未发生重大变化，基本面未发生重大变化。同时，公司再次提示因涉嫌信息披露违法违规而被中国证监会立案调查的风险，截至公告披露时调查仍在进行。</w:t>
      </w:r>
    </w:p>
    <w:p>
      <w:pPr>
        <w:pStyle w:val="Heading2"/>
        <w:spacing w:after="120" w:before="240"/>
      </w:pPr>
      <w:r>
        <w:rPr>
          <w:b/>
          <w:bCs/>
          <w:color w:val="2E74B5"/>
          <w:sz w:val="24"/>
          <w:szCs w:val="24"/>
        </w:rPr>
        <w:t xml:space="preserve">4.3 股票异常波动公告：否认存在重大未披露事项</w:t>
      </w:r>
    </w:p>
    <w:p>
      <w:pPr>
        <w:spacing w:after="160" w:line="300"/>
      </w:pPr>
      <w:r>
        <w:rPr>
          <w:sz w:val="22"/>
          <w:szCs w:val="22"/>
        </w:rPr>
        <w:t xml:space="preserve">公司于2026年9月2日披露股票交易异常波动公告。公司股票于2026年8月31日和9月1日连续两个交易日收盘价格涨幅偏离值累计超过20%，构成股票交易异常波动。公司通过自查并向控股股东、实际控制人书面函询核实后表示，除已披露的2026年半年度报告外，公司、控股股东及实际控制人不存在影响股票异常波动的重大事项，也不存在应披露而未披露的重大信息。公告列明未涉及重大资产重组、发行股份、上市公司收购、重大交易、债务重组、业务重组、股份回购、股权激励、重大业务合作、引进战略投资者、资产剥离和资产注入等事项。上述结论为公司当时自查和函询后的公告表述，不代表监管调查已经结束。</w:t>
      </w:r>
    </w:p>
    <w:p>
      <w:pPr>
        <w:pStyle w:val="Heading2"/>
        <w:spacing w:after="120" w:before="240"/>
      </w:pPr>
      <w:r>
        <w:rPr>
          <w:b/>
          <w:bCs/>
          <w:color w:val="2E74B5"/>
          <w:sz w:val="24"/>
          <w:szCs w:val="24"/>
        </w:rPr>
        <w:t xml:space="preserve">4.4 中国证监会立案调查仍未结束</w:t>
      </w:r>
    </w:p>
    <w:p>
      <w:pPr>
        <w:spacing w:after="160" w:line="300"/>
      </w:pPr>
      <w:r>
        <w:rPr>
          <w:sz w:val="22"/>
          <w:szCs w:val="22"/>
        </w:rPr>
        <w:t xml:space="preserve">公司于2026年6月23日公告称，近日收到中国证监会《立案告知书》，编号为“证监立案字0362026002号”，立案原因为公司涉嫌信息披露违法违规。截至2026年9月3日风险提示公告披露时，立案调查仍处于调查期间。公司表示目前生产经营活动正常，董事和高级管理人员正常履职，但调查最终结果、是否受到行政处罚以及对公司财务和后续监管安排的影响均尚未确定。</w:t>
      </w:r>
    </w:p>
    <w:p>
      <w:pPr>
        <w:pStyle w:val="Heading2"/>
        <w:spacing w:after="120" w:before="240"/>
      </w:pPr>
      <w:r>
        <w:rPr>
          <w:b/>
          <w:bCs/>
          <w:color w:val="2E74B5"/>
          <w:sz w:val="24"/>
          <w:szCs w:val="24"/>
        </w:rPr>
        <w:t xml:space="preserve">4.5 公司代偿控股子公司1,000万元贷款</w:t>
      </w:r>
    </w:p>
    <w:p>
      <w:pPr>
        <w:spacing w:after="160" w:line="300"/>
      </w:pPr>
      <w:r>
        <w:rPr>
          <w:sz w:val="22"/>
          <w:szCs w:val="22"/>
        </w:rPr>
        <w:t xml:space="preserve">公司于2026年9月10日披露《关于履行担保责任的公告》，近日为控股子公司双河市新赛聚鑫钙业有限公司向中国农业银行的贷款代偿本金1,000万元。聚鑫钙业由新赛股份持股51%，新疆益祥新型建材制造有限公司持股49%。截至2026年6月30日，聚鑫钙业未经审计资产总额为4,020.42万元、负债总额为2,537.31万元、净资产为1,483.11万元，2026年上半年营业收入21.54万元，净利润亏损113.61万元。公司称代偿后已依法取得完整追偿权，并计划根据反担保协议，启动处置新疆益祥新型建材制造有限公司所质押的聚鑫钙业24.50%股权，以优先抵偿代偿本金、资金占用费及维权费用。截至2026年8月31日，公司及控股子公司拟提供的担保总额不超过35亿元，实际发生担保余额为5.3872亿元；实际担保余额占公司最近一期经审计归属于母公司净资产的157.07%。公司称不存在对控股股东、实际控制人及其关联人提供担保的情况，也不存在逾期对外担保。追偿金额和回收时间存在不确定性。</w:t>
      </w:r>
    </w:p>
    <w:p>
      <w:pPr>
        <w:pStyle w:val="Heading2"/>
        <w:spacing w:after="120" w:before="240"/>
      </w:pPr>
      <w:r>
        <w:rPr>
          <w:b/>
          <w:bCs/>
          <w:color w:val="2E74B5"/>
          <w:sz w:val="24"/>
          <w:szCs w:val="24"/>
        </w:rPr>
        <w:t xml:space="preserve">4.6 全资子公司资产被法院裁定司法拍卖</w:t>
      </w:r>
    </w:p>
    <w:p>
      <w:pPr>
        <w:spacing w:after="160" w:line="300"/>
      </w:pPr>
      <w:r>
        <w:rPr>
          <w:sz w:val="22"/>
          <w:szCs w:val="22"/>
        </w:rPr>
        <w:t xml:space="preserve">公司于2026年8月29日披露，全资子公司新疆乌鲁木齐新赛油脂有限公司名下土地使用权及地上建筑物被法院裁定司法拍卖。该事项源于建设工程施工合同纠纷，乌市油脂及相关方应支付工程款2,597.86万元及诉讼费8.58万元；调解确认工程款及诉讼费合计约2,606.44万元。乌鲁木齐垦区人民法院裁定拍卖乌市油脂名下位于104团二连及乌鲁木齐市头屯河区赛里木湖路209号的土地使用权和地上建筑物，标的资产评估价值为4,818.73万元。后续仍需经过网络竞拍、缴款和产权过户等程序，存在成交、流拍、中止、撤回或降价拍卖等不确定性。若资产最终被司法处置，可能影响乌市油脂生产经营，并对公司合并报表资产和损益产生影响，最终金额以实际处置结果和审计数据为准。</w:t>
      </w:r>
    </w:p>
    <w:p>
      <w:pPr>
        <w:pStyle w:val="Heading2"/>
        <w:spacing w:after="120" w:before="240"/>
      </w:pPr>
      <w:r>
        <w:rPr>
          <w:b/>
          <w:bCs/>
          <w:color w:val="2E74B5"/>
          <w:sz w:val="24"/>
          <w:szCs w:val="24"/>
        </w:rPr>
        <w:t xml:space="preserve">4.7 2026年第二次临时股东会将于9月15日召开</w:t>
      </w:r>
    </w:p>
    <w:p>
      <w:pPr>
        <w:spacing w:after="160" w:line="300"/>
      </w:pPr>
      <w:r>
        <w:rPr>
          <w:sz w:val="22"/>
          <w:szCs w:val="22"/>
        </w:rPr>
        <w:t xml:space="preserve">公司计划于2026年9月15日召开2026年第二次临时股东会，现场会议地点为新疆双河市经济开发区新赛股份二楼会议室，同时采用网络投票方式。本次会议主要审议修订《公司章程》、修订《公司董事及高级管理人员薪酬管理制度》及相关内部治理制度调整。截至2026年9月13日，公开公告中尚未看到该股东会已经召开或表决结果披露，相关议案是否通过仍待后续公告确认。</w:t>
      </w:r>
    </w:p>
    <w:p>
      <w:pPr>
        <w:pStyle w:val="Heading2"/>
        <w:spacing w:after="120" w:before="240"/>
      </w:pPr>
      <w:r>
        <w:rPr>
          <w:b/>
          <w:bCs/>
          <w:color w:val="2E74B5"/>
          <w:sz w:val="24"/>
          <w:szCs w:val="24"/>
        </w:rPr>
        <w:t xml:space="preserve">4.8 截至2026年9月13日未检索到新的业绩预告、回购或并购公告</w:t>
      </w:r>
    </w:p>
    <w:p>
      <w:pPr>
        <w:spacing w:after="160" w:line="300"/>
      </w:pPr>
      <w:r>
        <w:rPr>
          <w:sz w:val="22"/>
          <w:szCs w:val="22"/>
        </w:rPr>
        <w:t xml:space="preserve">截至2026年9月13日，针对2026年9月及近期公告检索，未发现新赛股份披露新的业绩预告、业绩快报、股份回购计划、重大资产重组、资产注入、发行股份收购资产或引入战略投资者公告。公司2026年9月2日股票异常波动公告亦明确表示，截至公告披露日，公司及控股股东、实际控制人不存在股份回购、重大资产重组、重大业务合作、资产剥离、资产注入等影响股价的重大未披露事项。该结论仅代表截至2026年9月13日公开披露信息的检索结果，不代表公司未来不会开展相关资本运作。</w:t>
      </w:r>
    </w:p>
    <w:p>
      <w:pPr>
        <w:pStyle w:val="Heading2"/>
        <w:spacing w:after="120" w:before="240"/>
      </w:pPr>
      <w:r>
        <w:rPr>
          <w:b/>
          <w:bCs/>
          <w:color w:val="2E74B5"/>
          <w:sz w:val="24"/>
          <w:szCs w:val="24"/>
        </w:rPr>
        <w:t xml:space="preserve">4.9 近期公告综合判断</w:t>
      </w:r>
    </w:p>
    <w:p>
      <w:pPr>
        <w:spacing w:after="160" w:line="300"/>
      </w:pPr>
      <w:r>
        <w:rPr>
          <w:sz w:val="22"/>
          <w:szCs w:val="22"/>
        </w:rPr>
        <w:t xml:space="preserve">截至2026年9月13日，新赛股份近期新增信息主要集中在交易风险、监管调查、股东减持、担保代偿和司法拍卖等事项。股价连续涨停后，公司发布异常波动及风险提示公告，提示短期涨幅过大、市场情绪过热和股价快速下跌风险；胡杨基金于2026年9月1日减持4,863,200股，持股比例由5.8365%降至5.00%；中国证监会立案调查截至2026年9月3日仍未结束；公司近期发生控股子公司贷款代偿及全资子公司资产司法拍卖事项。公司公告称生产经营正常、代偿对日常经营和流动性影响较小，但监管调查结果、担保追偿回收情况及司法拍卖最终成交结果均存在不确定性。</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600540，新赛股份；新疆赛里木现代农业股份有限公司；上海证券交易所；农业/种植业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涨跌情况</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下跌0.66元，跌幅10.06%，触及跌停</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日内价格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开盘6.20元，最高6.26元，最低5.90元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成交情况</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成交量约122.84万—124.55万手，成交额约7.40—7.50亿元，换手率约21.13%—21.42%；不同平台存在轻微统计口径差异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市值与估值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总市值约34.30亿元；证券时报显示动态市盈率约13.71倍、动态市净率约7.33倍。市盈率数据存在页面口径差异，部分中财网页面显示为“--”，且公司每股收益数据为负，不宜直接视为稳定、可比的估值结论</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约5.81亿股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52周高点7.48元，出现在2026年9月10日盘中；52周低点3.04元，出现在2026年7月21日附近</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2026年8月27日收盘价4.59元至9月9日收盘价7.21元，阶段涨幅约57%；随后两个交易日累计下跌约18.2%</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约6.59元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当前收盘价低于MA5约10.4%，连续大跌后已快速跌破短期强势区域，短线动能明显恶化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约5.84元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当前收盘价高于MA10约1.0%；5.8—5.9元附近为当前第一观察支撑，若有效失守，短线趋势可能进一步向前期密集成交区回落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约4.94元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当前收盘价高于MA20约19.4%；MA5、MA10、MA20仍呈此前的多头排列，但短线趋势已明显转弱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截至2026年9月11日的DIF、DEA及柱值缺少可稳定核验的公开数据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此前快速上涨阶段大概率处于零轴上方或接近零轴上方；连续下跌后红柱预计明显收缩，短线动能转弱，是否已形成正式死叉仍需以交易软件进一步确认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缺少可直接交叉核验的标准RSI数值；按最近约14个交易日收盘价简单估算约处于中性偏强区间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该估算未完全采用行情软件常用的Wilder平滑算法，仅作辅助观察；快速上涨阶段短线RSI曾进入偏热区域，连续下跌后将快速回落，但不能仅凭两日下跌判定已进入稳定超卖区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布林中轨约4.94元，上轨约7.19元，下轨约2.69元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9月9日收盘价7.21元基本触及或略高于估算上轨；9月10日至11日快速回到通道内部，显示此前上涨存在短线过热和均值回归压力。布林轨道为自计算近似值，不是固定阻力或必然目标价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9月4日主力资金净流入约1.559亿元；9月10日主力资金净流出约1.07亿元；9月11日未获得可交叉核验的当日主力净额</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9月初主力资金并非连续净流入，而是出现较大幅度进出和高位分歧；9月10日主力净流出与股价大跌相互印证。资金流向数据受平台算法和大单分类口径影响，不等同于真实投资者身份或机构净买卖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截至2026年6月30日，前十大股东合计持股约45.19%，第一大股东持股29.16%，第二大股东持股5.84%，第三大股东持股5.00%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权集中度不低，但前十大股东同时包含地方国资/产业投资平台、私募股权基金、自然人及部分金融机构客户资金，不能简单归类为公募基金主导的机构持仓结构。该数据早于9月大幅波动及9月1日减持，当前实际筹码结构可能已发生变化</w:t>
            </w:r>
          </w:p>
        </w:tc>
      </w:tr>
    </w:tbl>
    <w:p>
      <w:pPr>
        <w:spacing w:before="200"/>
      </w:pPr>
    </w:p>
    <w:p>
      <w:pPr>
        <w:spacing w:after="160" w:line="300"/>
      </w:pPr>
      <w:r>
        <w:rPr>
          <w:sz w:val="22"/>
          <w:szCs w:val="22"/>
        </w:rPr>
        <w:t xml:space="preserve">新赛股份在2026年8月27日至9月9日快速上涨，收盘价由4.59元升至7.21元，随后于9月10日、9月11日连续大跌，9月11日收于5.90元并触及跌停。高位下跌期间成交额仍处于较高水平，且9月初多日换手率超过30%，反映短线筹码交换充分、资金分歧加剧。技术上，MA5约6.59元、MA10约5.84元、MA20约4.94元，均线仍保留此前的多头排列痕迹，但股价已快速跌破MA5，短线动能明显转弱。布林带估算显示9月9日价格触及上轨，随后回落至通道内部。MACD和标准RSI缺少可核验的完整数值，相关判断仅作定性或辅助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6.20~6.60元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依据包括9月11日盘中高点6.26元、MA5约6.59元及9月8日至9月10日密集成交区域。若重新站回6.20元并进一步收复6.55~6.60元，短线抛压才可能有所缓解；若无法收复，反弹更可能属于弱势修复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5.75~5.95元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5.90元为9月11日收盘价及当日最低价，MA10约5.84元。若该区域缩量企稳，可能出现技术性反抽；若放量跌破，短线弱势可能延续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5.35~5.60元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对应9月1日至9月3日附近的价格密集区及此前涨停突破后的部分成交成本区域。若5.35元附近被放量跌破，价格可能继续向前期4.90~5.10元区域寻找支撑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这是基于当前技术面和资金流向的启发式权重，不是统计概率）：价格区间约5.75~6.35元。触发条件包括股价在5.75~5.95元附近获得承接、成交额较9月初高峰明显回落、农业板块不出现连续性大面积杀跌，以及股价重新站回6.20元附近但未有效突破6.55~6.60元。走势可能表现为大幅波动和反复冲高回落，而非快速恢复此前的单边上升</w:t>
      </w:r>
    </w:p>
    <w:p>
      <w:pPr>
        <w:pStyle w:val="ListParagraph"/>
        <w:numPr>
          <w:ilvl w:val="0"/>
          <w:numId w:val="2"/>
        </w:numPr>
        <w:spacing w:after="80" w:line="280"/>
      </w:pPr>
      <w:r>
        <w:rPr>
          <w:sz w:val="22"/>
          <w:szCs w:val="22"/>
        </w:rPr>
        <w:t xml:space="preserve">偏弱下行（主观权重中等，约三成；这是启发式判断，不是统计概率）：价格区间约5.30~5.80元。触发条件包括收盘有效跌破5.75~5.90元、单日成交额仍维持在7亿元以上但反弹力度较弱、农业种植板块继续走弱、主力资金继续出现较大额净流出，以及9月10日和9月11日形成的高位套牢盘持续兑现。若跌破5.35元附近，技术上可能进一步回探5.00~5.15元区域，但该区域属于基于前期成交密集区的推演，不是确定性目标价</w:t>
      </w:r>
    </w:p>
    <w:p>
      <w:pPr>
        <w:pStyle w:val="ListParagraph"/>
        <w:numPr>
          <w:ilvl w:val="0"/>
          <w:numId w:val="2"/>
        </w:numPr>
        <w:spacing w:after="80" w:line="280"/>
      </w:pPr>
      <w:r>
        <w:rPr>
          <w:sz w:val="22"/>
          <w:szCs w:val="22"/>
        </w:rPr>
        <w:t xml:space="preserve">反弹走强（主观权重偏低，约一成至两成；这是启发式判断，不是统计概率）：价格区间约6.20~6.80元。触发条件包括股价先在5.75~5.95元区域止跌，随后放量收复6.20元，进一步突破6.55~6.60元的MA5及密集成交压力区，单日成交额重新达到8亿元以上且收盘位于日内高位附近，同时农业板块同步反弹或公司出现新的、被市场认可的催化信息。若有效站回6.60元上方，短线才有机会重新测试6.80~7.20元区域；7.20元附近接近前期高位和估算布林上轨，压力仍然较大</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约21.1%~21.4%，成交额约7.4~7.5亿元；9月8日至9月11日成交额分别约14.71亿元、12.91亿元、12.93亿元和约7.50亿元，换手率分别约37.46%、32.08%、32.88%和约21.42%。相较于8月中下旬多数交易日约1%~8%的换手率，9月初换手率明显升高，9月2日至9月10日期间多次超过30%，显示短线筹码交换充分、交易拥挤度上升。对于总市值约34亿元的中小市值股票，单日成交额达到7亿至15亿元时，价格对短线资金流向和情绪变化较为敏感，可能出现较大的盘中滑点和涨跌停板波动。股东结构方面，截至2026年6月30日，前十大股东合计持股约45.19%，第一大股东持股29.16%；但该数据存在季度滞后，且持股5%以上股东胡杨基金于2026年9月1日通过集中竞价减持约486.32万股、占总股本约0.8365%，因此不能将6月末结构直接等同于9月11日的实际筹码结构。前十大股东包括地方国资/产业投资平台、私募股权基金、自然人及部分金融机构客户资金，不能简单视为公募基金主导的机构持仓结构。</w:t>
      </w:r>
    </w:p>
    <w:p>
      <w:pPr>
        <w:spacing w:after="160" w:line="300"/>
      </w:pPr>
      <w:r>
        <w:rPr>
          <w:sz w:val="22"/>
          <w:szCs w:val="22"/>
        </w:rPr>
        <w:t xml:space="preserve">若未来一周单日成交额持续放大至8亿元以上，同时股价收盘重新站上6.20元并进一步突破6.55~6.60元，可作为短线资金重新形成有效承接的观察信号；若成交额放大但股价继续收跌，则更偏向高位换手和资金兑现，而非积极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观察5.75~5.95元支撑区是否出现缩量止跌；该内容为观察思路，非操作指令</w:t>
      </w:r>
    </w:p>
    <w:p>
      <w:pPr>
        <w:pStyle w:val="ListParagraph"/>
        <w:numPr>
          <w:ilvl w:val="0"/>
          <w:numId w:val="2"/>
        </w:numPr>
        <w:spacing w:after="80" w:line="280"/>
      </w:pPr>
      <w:r>
        <w:rPr>
          <w:sz w:val="22"/>
          <w:szCs w:val="22"/>
        </w:rPr>
        <w:t xml:space="preserve">观察6.20元及6.55~6.60元压力区能否被放量收复；该内容为观察思路，非操作指令</w:t>
      </w:r>
    </w:p>
    <w:p>
      <w:pPr>
        <w:pStyle w:val="ListParagraph"/>
        <w:numPr>
          <w:ilvl w:val="0"/>
          <w:numId w:val="2"/>
        </w:numPr>
        <w:spacing w:after="80" w:line="280"/>
      </w:pPr>
      <w:r>
        <w:rPr>
          <w:sz w:val="22"/>
          <w:szCs w:val="22"/>
        </w:rPr>
        <w:t xml:space="preserve">观察成交额放大后股价是否同步走强，避免将单纯放量误判为资金净流入；该内容为观察思路，非操作指令</w:t>
      </w:r>
    </w:p>
    <w:p>
      <w:pPr>
        <w:pStyle w:val="ListParagraph"/>
        <w:numPr>
          <w:ilvl w:val="0"/>
          <w:numId w:val="2"/>
        </w:numPr>
        <w:spacing w:after="80" w:line="280"/>
      </w:pPr>
      <w:r>
        <w:rPr>
          <w:sz w:val="22"/>
          <w:szCs w:val="22"/>
        </w:rPr>
        <w:t xml:space="preserve">关注持股5%以上股东减持后的后续公告及股东结构变化；该内容为观察思路，非操作指令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新疆棉花产业链涵盖种植、籽棉收购、轧花加工、皮棉流通、纺纱织布以及服装家纺等环节。2025年全国棉花产量为664.1万吨，新疆棉花产量占全国总产量约92.83%，新疆继续占据中国棉花生产的主导地位。</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新疆棉花区域集中度高，棉花目标价格补贴、质量补贴以及兵地棉花市场融合政策为区域生产和加工提供相对稳定的制度环境。</w:t>
      </w:r>
    </w:p>
    <w:p>
      <w:pPr>
        <w:pStyle w:val="ListParagraph"/>
        <w:numPr>
          <w:ilvl w:val="0"/>
          <w:numId w:val="2"/>
        </w:numPr>
        <w:spacing w:after="80" w:line="280"/>
      </w:pPr>
      <w:r>
        <w:rPr>
          <w:sz w:val="22"/>
          <w:szCs w:val="22"/>
        </w:rPr>
        <w:t xml:space="preserve">轧花加工环节企业数量多、规模较分散，存在产能过剩和同质化竞争。根据年报引用的新疆发改委数据，截至2025年新疆棉花目标价格改革公示的加工企业数量为1069家。</w:t>
      </w:r>
    </w:p>
    <w:p>
      <w:pPr>
        <w:pStyle w:val="ListParagraph"/>
        <w:numPr>
          <w:ilvl w:val="0"/>
          <w:numId w:val="2"/>
        </w:numPr>
        <w:spacing w:after="80" w:line="280"/>
      </w:pPr>
      <w:r>
        <w:rPr>
          <w:sz w:val="22"/>
          <w:szCs w:val="22"/>
        </w:rPr>
        <w:t xml:space="preserve">行业竞争重点正从单纯抢占籽棉资源转向籽棉采购成本、设备利用率、加工效率、皮棉质量和等级、仓储物流、纺织客户渠道、期货套保及库存管理。</w:t>
      </w:r>
    </w:p>
    <w:p>
      <w:pPr>
        <w:pStyle w:val="ListParagraph"/>
        <w:numPr>
          <w:ilvl w:val="0"/>
          <w:numId w:val="2"/>
        </w:numPr>
        <w:spacing w:after="80" w:line="280"/>
      </w:pPr>
      <w:r>
        <w:rPr>
          <w:sz w:val="22"/>
          <w:szCs w:val="22"/>
        </w:rPr>
        <w:t xml:space="preserve">脱酚棉籽蛋白处于棉花产业链中游，受到豆粕、菜粕等替代品价格及下游养殖景气影响，整体属于成本驱动、价格竞争明显的低毛利加工环节；新赛股份2025年棉蛋白毛利率为2.80%。</w:t>
      </w:r>
    </w:p>
    <w:p>
      <w:pPr>
        <w:pStyle w:val="ListParagraph"/>
        <w:numPr>
          <w:ilvl w:val="0"/>
          <w:numId w:val="2"/>
        </w:numPr>
        <w:spacing w:after="80" w:line="280"/>
      </w:pPr>
      <w:r>
        <w:rPr>
          <w:sz w:val="22"/>
          <w:szCs w:val="22"/>
        </w:rPr>
        <w:t xml:space="preserve">新赛股份2025年自有轧花产能约折合8.6万吨皮棉，而皮棉销售量为18.04万吨，差额主要来自贸易及外部合作经营，分析规模时应区分自有加工产能与贸易、合作经营销售规模。</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冠农股份（600251）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新疆棉花产业链直接区域可比企业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业务覆盖棉花、番茄制品、甜菜糖及其他农业资源；棉花业务包括皮棉加工和销售，业务较新赛股份更加多元。2025年棉花产品收入同比下降32.93%，市场价格趋稳背景下采取谨慎收购策略。</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新农开发（600359）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新疆兵团农业资源及棉种业务可比企业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业务涉及棉花种子、棉花种植加工、乳业和甘草；比较优势更多体现在种源、棉种研发和农业种植资源，而非皮棉贸易规模。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晨光生物（300138）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棉籽综合加工及农产品深加工可比企业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主营还包括天然植物提取物、色素、香辛料、营养及药用产品；2025年棉籽类业务收入29.42亿元，占营业收入约44.85%，棉籽类业务毛利率4.61%，在棉籽综合加工和全国化销售方面更成熟。</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新疆天业（600075）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新疆兵团资源型、产业链一体化间接对标企业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主营业务以氯碱化工、聚氯乙烯、化肥及循环经济产业链为主，并非新赛股份的直接棉花加工竞争者；其优势在化工产业链一体化、规模化和能源配套。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新疆晨光生物（832157）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棉籽深加工直接可比企业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主要从事棉籽加工，产品包括棉籽油、棉粕和棉籽蛋白；在棉籽采购、油脂及蛋白产品加工、套期保值和全国销售网络方面与新赛股份的生物蛋白业务具有更直接可比性。</w:t>
            </w:r>
          </w:p>
        </w:tc>
      </w:tr>
    </w:tbl>
    <w:p>
      <w:pPr>
        <w:spacing w:before="200"/>
      </w:pPr>
    </w:p>
    <w:p>
      <w:pPr>
        <w:spacing w:after="160" w:line="300"/>
      </w:pPr>
      <w:r>
        <w:rPr>
          <w:sz w:val="22"/>
          <w:szCs w:val="22"/>
        </w:rPr>
        <w:t xml:space="preserve">新赛股份相较冠农股份和新农开发，收入和经营重心更集中于皮棉加工及贸易，棉花供应链规模扩张更明显，但业务多元化程度和棉种研发特色相对不足；相较晨光生物及新疆晨光生物，新赛股份仍以皮棉及棉花贸易为核心，棉籽深加工占比较低、盈利稳定性有限；相较新疆天业，新赛股份不具备化工一体化和能源配套优势，其核心竞争力主要来自新疆及兵团棉花资源、轧花网络和农产品供应链整合能力。总体而言，公司处于区域资源驱动的大宗农产品中游加工与流通环节，利润改善需要依靠成本、质量、渠道、库存和副产品综合利用效率提升，而非单纯依靠规模扩张。</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皮棉业务毛利率持续偏低甚至为负：2025年皮棉毛利率为-0.43%，公司对籽棉采购价格和皮棉销售价格缺乏明显定价权，若采购成本、棉价或购销价差不利，皮棉销售量增长可能难以转化为利润增长。</w:t>
      </w:r>
    </w:p>
    <w:p>
      <w:pPr>
        <w:pStyle w:val="ListParagraph"/>
        <w:numPr>
          <w:ilvl w:val="0"/>
          <w:numId w:val="2"/>
        </w:numPr>
        <w:spacing w:after="80" w:line="280"/>
      </w:pPr>
      <w:r>
        <w:rPr>
          <w:sz w:val="22"/>
          <w:szCs w:val="22"/>
        </w:rPr>
        <w:t xml:space="preserve">库存和预付款占用较高，存在棉价波动及资金周转风险：截至2025年12月31日，公司存货24.60亿元、预付款项5.15亿元，2025年经营活动现金流量净额为-13.17亿元；若皮棉价格下跌、库存周转放慢或融资成本上升，可能带来存货跌价和流动性压力。</w:t>
      </w:r>
    </w:p>
    <w:p>
      <w:pPr>
        <w:pStyle w:val="ListParagraph"/>
        <w:numPr>
          <w:ilvl w:val="0"/>
          <w:numId w:val="2"/>
        </w:numPr>
        <w:spacing w:after="80" w:line="280"/>
      </w:pPr>
      <w:r>
        <w:rPr>
          <w:sz w:val="22"/>
          <w:szCs w:val="22"/>
        </w:rPr>
        <w:t xml:space="preserve">业务规模较大程度依赖贸易及外部合作产能：公司自有轧花产能约折合8.6万吨皮棉，而2025年皮棉销售量为18.04万吨，新增21家外部轧花厂合作经营，合作皮棉销售量达到9.35万吨；合作方供应、质量、履约和采购价格变化可能影响销售规模与盈利。</w:t>
      </w:r>
    </w:p>
    <w:p>
      <w:pPr>
        <w:pStyle w:val="ListParagraph"/>
        <w:numPr>
          <w:ilvl w:val="0"/>
          <w:numId w:val="2"/>
        </w:numPr>
        <w:spacing w:after="80" w:line="280"/>
      </w:pPr>
      <w:r>
        <w:rPr>
          <w:sz w:val="22"/>
          <w:szCs w:val="22"/>
        </w:rPr>
        <w:t xml:space="preserve">棉籽深加工盈利仍不稳定：2025年棉籽毛利率为-3.54%，棉蛋白毛利率为2.80%，相关产品受到棉籽价格、豆粕及菜粕等替代蛋白价格以及下游养殖景气影响，副产品改善尚未形成稳定高利润壁垒。</w:t>
      </w:r>
    </w:p>
    <w:p>
      <w:pPr>
        <w:pStyle w:val="ListParagraph"/>
        <w:numPr>
          <w:ilvl w:val="0"/>
          <w:numId w:val="2"/>
        </w:numPr>
        <w:spacing w:after="80" w:line="280"/>
      </w:pPr>
      <w:r>
        <w:rPr>
          <w:sz w:val="22"/>
          <w:szCs w:val="22"/>
        </w:rPr>
        <w:t xml:space="preserve">监管调查结果存在不确定性：公司因涉嫌信息披露违法违规于2026年6月收到中国证监会立案告知书，截至2026年9月3日调查仍在进行，最终是否受到行政处罚以及对财务和后续监管安排的影响尚未确定。</w:t>
      </w:r>
    </w:p>
    <w:p>
      <w:pPr>
        <w:pStyle w:val="ListParagraph"/>
        <w:numPr>
          <w:ilvl w:val="0"/>
          <w:numId w:val="2"/>
        </w:numPr>
        <w:spacing w:after="80" w:line="280"/>
      </w:pPr>
      <w:r>
        <w:rPr>
          <w:sz w:val="22"/>
          <w:szCs w:val="22"/>
        </w:rPr>
        <w:t xml:space="preserve">担保代偿及对外担保规模可能带来财务风险：公司近期为控股子公司双河市新赛聚鑫钙业有限公司代偿贷款本金1,000万元，聚鑫钙业2026年上半年收入仅21.54万元且净利润亏损113.61万元；截至2026年8月31日，公司及控股子公司实际担保余额为5.3872亿元，占最近一期经审计归母净资产的157.07%，后续追偿金额和回收时间存在不确定性。</w:t>
      </w:r>
    </w:p>
    <w:p>
      <w:pPr>
        <w:pStyle w:val="ListParagraph"/>
        <w:numPr>
          <w:ilvl w:val="0"/>
          <w:numId w:val="2"/>
        </w:numPr>
        <w:spacing w:after="80" w:line="280"/>
      </w:pPr>
      <w:r>
        <w:rPr>
          <w:sz w:val="22"/>
          <w:szCs w:val="22"/>
        </w:rPr>
        <w:t xml:space="preserve">全资子公司资产司法拍卖可能影响经营及损益：新疆乌鲁木齐新赛油脂有限公司名下土地使用权及地上建筑物被法院裁定司法拍卖，相关工程款及诉讼费合计约2,606.44万元，标的资产评估价值为4,818.73万元；后续存在流拍、降价拍卖或处置结果不及预期的可能，并可能影响乌市油脂生产经营及公司合并报表。</w:t>
      </w:r>
    </w:p>
    <w:p>
      <w:pPr>
        <w:pStyle w:val="ListParagraph"/>
        <w:numPr>
          <w:ilvl w:val="0"/>
          <w:numId w:val="2"/>
        </w:numPr>
        <w:spacing w:after="80" w:line="280"/>
      </w:pPr>
      <w:r>
        <w:rPr>
          <w:sz w:val="22"/>
          <w:szCs w:val="22"/>
        </w:rPr>
        <w:t xml:space="preserve">股价短期波动和估值回撤风险较高：公司股价在2026年8月27日至9月9日快速上涨约57%，随后两个交易日累计下跌约18.2%，9月11日收于5.90元并触及跌停；当前动态估值主要依赖上半年利润年化，若下半年盈利无法延续，较高市净率及短期交易拥挤可能放大价格下行压力。</w:t>
      </w:r>
    </w:p>
    <w:p>
      <w:pPr>
        <w:pStyle w:val="ListParagraph"/>
        <w:numPr>
          <w:ilvl w:val="0"/>
          <w:numId w:val="2"/>
        </w:numPr>
        <w:spacing w:after="80" w:line="280"/>
      </w:pPr>
      <w:r>
        <w:rPr>
          <w:sz w:val="22"/>
          <w:szCs w:val="22"/>
        </w:rPr>
        <w:t xml:space="preserve">股东减持可能加剧筹码波动：中新建胡杨私募股权基金于2026年9月1日减持486.32万股，占总股本0.8365%，持股比例由5.8365%降至5.00%；在近期高换手背景下，后续股东结构变化可能进一步影响市场筹码稳定性。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棉花供应链规模扩张、外部轧花厂合作经营、皮棉贸易放量，以及棉蛋白、棉油等副产品深加工能力改善。2026年上半年新赛生物蛋白科技公司实现收入约2.38亿元，棉蛋白出品率改善和棉油等副产品结构优化，有助于改善综合盈利。不过，公司处于标准化大宗农产品中游加工与流通环节，定价权和利润壁垒有限，单纯扩大皮棉贸易规模并不必然带来利润率提升。</w:t>
      </w:r>
    </w:p>
    <w:p>
      <w:pPr>
        <w:spacing w:after="160" w:line="300"/>
      </w:pPr>
      <w:r>
        <w:rPr>
          <w:sz w:val="22"/>
          <w:szCs w:val="22"/>
        </w:rPr>
        <w:t xml:space="preserve">后续业绩能否持续改善，关键取决于籽棉采购与皮棉销售价差、轧花设备利用率、棉籽蛋白及棉油综合利用率、库存周转和融资成本控制，以及皮棉业务现金流能否保持稳定。2026年上半年净利润大幅增长存在低基数效应，当前暂无可交叉核实的2026—2028年机构盈利预测，不能以半年利润简单年化替代全年盈利验证。</w:t>
      </w:r>
    </w:p>
    <w:p>
      <w:pPr>
        <w:spacing w:after="160" w:line="300"/>
      </w:pPr>
      <w:r>
        <w:rPr>
          <w:sz w:val="22"/>
          <w:szCs w:val="22"/>
        </w:rPr>
        <w:t xml:space="preserve">估值和市场表现也需要结合盈利稳定性审视。截至2026年9月11日，股价5.90元、总市值约34.30亿元，动态市盈率约13.71倍、动态市净率约7.33倍，但市盈率主要基于2026年上半年利润年化，且公司2025年仍亏损；公司近期连续涨停后快速回撤，短线资金分歧、股东减持及监管调查等因素可能继续放大价格波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新赛股份(600540)_公司公告_新赛股份：2025年年度报告新浪财经_新浪网 — https://money.finance.sina.com.cn/corp/view/vCB_AllBulletinDetail.php?id=12289500&amp;stockid=600540</w:t>
      </w:r>
    </w:p>
    <w:p>
      <w:pPr>
        <w:spacing w:after="200"/>
      </w:pPr>
      <w:r>
        <w:rPr>
          <w:i/>
          <w:iCs/>
          <w:color w:val="595959"/>
          <w:sz w:val="18"/>
          <w:szCs w:val="18"/>
        </w:rPr>
        <w:t xml:space="preserve">新赛股份(600540)_公司公告_新赛股份：关于上海证券交易所对公司2025年年度报告信息披露监管问询函回复的公告新浪财经_新浪网 — https://money.finance.sina.com.cn/corp/view/vCB_AllBulletinDetail.php?id=12480800&amp;stockid=600540</w:t>
      </w:r>
    </w:p>
    <w:p>
      <w:pPr>
        <w:spacing w:after="200"/>
      </w:pPr>
      <w:r>
        <w:rPr>
          <w:i/>
          <w:iCs/>
          <w:color w:val="595959"/>
          <w:sz w:val="18"/>
          <w:szCs w:val="18"/>
        </w:rPr>
        <w:t xml:space="preserve">新赛股份(600540)_公司公告_新赛股份：2023年年度报告新浪财经_新浪网 — https://vip.stock.finance.sina.com.cn/corp/view/vCB_AllBulletinDetail.php?id=10163778&amp;stockid=600540&amp;utm_source=openai</w:t>
      </w:r>
    </w:p>
    <w:p>
      <w:pPr>
        <w:spacing w:after="200"/>
      </w:pPr>
      <w:r>
        <w:rPr>
          <w:i/>
          <w:iCs/>
          <w:color w:val="595959"/>
          <w:sz w:val="18"/>
          <w:szCs w:val="18"/>
        </w:rPr>
        <w:t xml:space="preserve">新赛股份(600540)_公司公告_新赛股份：2024年年度报告新浪财经_新浪网 — https://money.finance.sina.com.cn/corp/view/vCB_AllBulletinDetail.php?id=11014015&amp;stockid=600540&amp;utm_source=openai</w:t>
      </w:r>
    </w:p>
    <w:p>
      <w:pPr>
        <w:spacing w:after="200"/>
      </w:pPr>
      <w:r>
        <w:rPr>
          <w:i/>
          <w:iCs/>
          <w:color w:val="595959"/>
          <w:sz w:val="18"/>
          <w:szCs w:val="18"/>
        </w:rPr>
        <w:t xml:space="preserve">冠农股份(600251)_公司公告_冠农股份：2025年年度报告新浪财经_新浪网 — https://money.finance.sina.com.cn/corp/view/vCB_AllBulletinDetail.php?id=12107679&amp;stockid=600251&amp;utm_source=openai</w:t>
      </w:r>
    </w:p>
    <w:p>
      <w:pPr>
        <w:spacing w:after="200"/>
      </w:pPr>
      <w:r>
        <w:rPr>
          <w:i/>
          <w:iCs/>
          <w:color w:val="595959"/>
          <w:sz w:val="18"/>
          <w:szCs w:val="18"/>
        </w:rPr>
        <w:t xml:space="preserve">新农开发(600359)_公司公告_新农开发：2025年年度报告摘要新浪财经_新浪网 — https://money.finance.sina.com.cn/corp/view/vCB_AllBulletinDetail.php?id=12073444&amp;stockid=600359&amp;utm_source=openai</w:t>
      </w:r>
    </w:p>
    <w:p>
      <w:pPr>
        <w:spacing w:after="200"/>
      </w:pPr>
      <w:r>
        <w:rPr>
          <w:i/>
          <w:iCs/>
          <w:color w:val="595959"/>
          <w:sz w:val="18"/>
          <w:szCs w:val="18"/>
        </w:rPr>
        <w:t xml:space="preserve">晨光生物(300138)_公司公告_晨光生物：2025年年度报告新浪财经_新浪网 — https://money.finance.sina.com.cn/corp/view/vCB_AllBulletinDetail.php?id=12039990&amp;stockid=300138&amp;utm_source=openai</w:t>
      </w:r>
    </w:p>
    <w:p>
      <w:pPr>
        <w:spacing w:after="200"/>
      </w:pPr>
      <w:r>
        <w:rPr>
          <w:i/>
          <w:iCs/>
          <w:color w:val="595959"/>
          <w:sz w:val="18"/>
          <w:szCs w:val="18"/>
        </w:rPr>
        <w:t xml:space="preserve">新疆天业(600075)_公司公告_新疆天业：2025年度报告新浪财经_新浪网 — https://money.finance.sina.com.cn/corp/view/vCB_AllBulletinDetail.php?id=12071824&amp;stockid=600075&amp;utm_source=openai</w:t>
      </w:r>
    </w:p>
    <w:p>
      <w:pPr>
        <w:spacing w:after="200"/>
      </w:pPr>
      <w:r>
        <w:rPr>
          <w:i/>
          <w:iCs/>
          <w:color w:val="595959"/>
          <w:sz w:val="18"/>
          <w:szCs w:val="18"/>
        </w:rPr>
        <w:t xml:space="preserve">新疆晨光:2025年年度报告-新三板—东方财富网 — https://xinsanban.eastmoney.com/Article/NoticeContent?id=AN202603301820865195&amp;pageIndex=4&amp;utm_source=openai</w:t>
      </w:r>
    </w:p>
    <w:p>
      <w:pPr>
        <w:spacing w:after="200"/>
      </w:pPr>
      <w:r>
        <w:rPr>
          <w:i/>
          <w:iCs/>
          <w:color w:val="595959"/>
          <w:sz w:val="18"/>
          <w:szCs w:val="18"/>
        </w:rPr>
        <w:t xml:space="preserve">关于××股份有限公司 — https://static.cninfo.com.cn/finalpage/2026-08-07/1225461745.PDF?utm_source=openai</w:t>
      </w:r>
    </w:p>
    <w:p>
      <w:pPr>
        <w:spacing w:after="200"/>
      </w:pPr>
      <w:r>
        <w:rPr>
          <w:i/>
          <w:iCs/>
          <w:color w:val="595959"/>
          <w:sz w:val="18"/>
          <w:szCs w:val="18"/>
        </w:rPr>
        <w:t xml:space="preserve">新赛股份(600540)_公司公告_新赛股份：2026年半年度报告摘要新浪财经_新浪网 — https://money.finance.sina.com.cn/corp/view/vCB_AllBulletinDetail.php?id=12550775&amp;stockid=600540</w:t>
      </w:r>
    </w:p>
    <w:p>
      <w:pPr>
        <w:spacing w:after="200"/>
      </w:pPr>
      <w:r>
        <w:rPr>
          <w:i/>
          <w:iCs/>
          <w:color w:val="595959"/>
          <w:sz w:val="18"/>
          <w:szCs w:val="18"/>
        </w:rPr>
        <w:t xml:space="preserve">新赛股份(600540) 财务概况_F10_同花顺金融服务网 — https://basic.10jqka.com.cn/600540/finance.html?utm_source=openai</w:t>
      </w:r>
    </w:p>
    <w:p>
      <w:pPr>
        <w:spacing w:after="200"/>
      </w:pPr>
      <w:r>
        <w:rPr>
          <w:i/>
          <w:iCs/>
          <w:color w:val="595959"/>
          <w:sz w:val="18"/>
          <w:szCs w:val="18"/>
        </w:rPr>
        <w:t xml:space="preserve">新赛股份(600540)_公司公告_新赛股份：2025年年度报告摘要新浪财经_新浪网 — https://vip.stock.finance.sina.com.cn/corp/view/vCB_AllBulletinDetail.php?id=12289497&amp;stockid=600540&amp;utm_source=openai</w:t>
      </w:r>
    </w:p>
    <w:p>
      <w:pPr>
        <w:spacing w:after="200"/>
      </w:pPr>
      <w:r>
        <w:rPr>
          <w:i/>
          <w:iCs/>
          <w:color w:val="595959"/>
          <w:sz w:val="18"/>
          <w:szCs w:val="18"/>
        </w:rPr>
        <w:t xml:space="preserve">新赛股份(600540) 盈利预测_F10_同花顺金融服务网 — https://basic.10jqka.com.cn/600540/worth.html</w:t>
      </w:r>
    </w:p>
    <w:p>
      <w:pPr>
        <w:spacing w:after="200"/>
      </w:pPr>
      <w:r>
        <w:rPr>
          <w:i/>
          <w:iCs/>
          <w:color w:val="595959"/>
          <w:sz w:val="18"/>
          <w:szCs w:val="18"/>
        </w:rPr>
        <w:t xml:space="preserve">新赛股份（sh600540）行情走势 — https://stcn.com/quotes/index/sh600540.html?utm_source=openai</w:t>
      </w:r>
    </w:p>
    <w:p>
      <w:pPr>
        <w:spacing w:after="200"/>
      </w:pPr>
      <w:r>
        <w:rPr>
          <w:i/>
          <w:iCs/>
          <w:color w:val="595959"/>
          <w:sz w:val="18"/>
          <w:szCs w:val="18"/>
        </w:rPr>
        <w:t xml:space="preserve">新赛股份(600540)市净率|估值|基本面 - 理杏仁 — https://www.lixinger.com/equity/company/detail/sh/600540/600540/fundamental/valuation/pb?utm_source=openai</w:t>
      </w:r>
    </w:p>
    <w:p>
      <w:pPr>
        <w:spacing w:after="200"/>
      </w:pPr>
      <w:r>
        <w:rPr>
          <w:i/>
          <w:iCs/>
          <w:color w:val="595959"/>
          <w:sz w:val="18"/>
          <w:szCs w:val="18"/>
        </w:rPr>
        <w:t xml:space="preserve">本报告由AI基于公开渠道信息自动检索、整理并生成，信息截至 截至2026年9月11日收盘；股东结构数据截至2026年6月30日，公告日期为2026年8月27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2026-09-13T11:39:02.425Z</dcterms:created>
  <dcterms:modified xsi:type="dcterms:W3CDTF">2026-09-13T11:39:02.425Z</dcterms:modified>
</cp:coreProperties>
</file>

<file path=docProps/custom.xml><?xml version="1.0" encoding="utf-8"?>
<Properties xmlns="http://schemas.openxmlformats.org/officeDocument/2006/custom-properties" xmlns:vt="http://schemas.openxmlformats.org/officeDocument/2006/docPropsVTypes"/>
</file>