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凯盛科技股份有限公司 (600552)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行业：新型显示与先进材料</w:t>
      </w:r>
    </w:p>
    <w:p>
      <w:pPr>
        <w:jc w:val="center"/>
      </w:pPr>
      <w:r>
        <w:rPr>
          <w:color w:val="595959"/>
          <w:sz w:val="22"/>
          <w:szCs w:val="22"/>
        </w:rPr>
        <w:t xml:space="preserve">报告日期：2026年9月13日</w:t>
      </w:r>
    </w:p>
    <w:p>
      <w:pPr>
        <w:jc w:val="center"/>
      </w:pPr>
      <w:r>
        <w:rPr>
          <w:color w:val="595959"/>
          <w:sz w:val="20"/>
          <w:szCs w:val="20"/>
        </w:rPr>
        <w:t xml:space="preserve">截至2026年9月11日收盘；不同行情数据库存在轻微差异，收盘价采用16.60—16.61元区间</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凯盛科技2026年上半年实现营业收入31.11亿元，同比增长12.54%；归母净利润6320.21万元，同比增长22.71%；扣非归母净利润4252.33万元，同比增长47.43%，显示主营盈利较2025年有所修复。但同期经营活动现金流净额为1.66亿元，同比下降35.84%，资产负债率约63.16%，且上半年归母净利率约2.03%，利润规模相对收入体量仍然偏小。</w:t>
      </w:r>
    </w:p>
    <w:p>
      <w:pPr>
        <w:spacing w:after="160" w:line="300"/>
      </w:pPr>
      <w:r>
        <w:rPr>
          <w:sz w:val="22"/>
          <w:szCs w:val="22"/>
        </w:rPr>
        <w:t xml:space="preserve">公司核心业务为显示材料和应用材料，2025年显示材料收入约46.26亿元，占工业主营业务收入约80.2%；2026年上半年显示材料收入约24.33亿元，应用材料收入约6.29亿元。公司具备“玻璃原片—超薄玻璃—ITO导电膜—盖板加工—显示模组”的一体化能力，并向UTG、车载显示、TGV先进封装玻璃、高纯石英、球形粉体及纳米功能材料延伸，但部分新产品仍处于试制、客户验证或放量爬坡阶段。</w:t>
      </w:r>
    </w:p>
    <w:p>
      <w:pPr>
        <w:spacing w:after="160" w:line="300"/>
      </w:pPr>
      <w:r>
        <w:rPr>
          <w:sz w:val="22"/>
          <w:szCs w:val="22"/>
        </w:rPr>
        <w:t xml:space="preserve">2025年公司收入增长20.15%至58.80亿元，但归母净利润为1.2867亿元，同比下降8.20%，反映出收入扩张尚未充分转化为利润增长。2026年上半年扣非利润增速高于收入增速，表明盈利改善迹象增强；机构平均预测2026—2028年归母净利润分别约为1.96亿元、2.87亿元和4.03亿元，但预测样本有限，且未来业绩能否兑现取决于UTG、车载显示、玻璃基板及高附加值应用材料的实际放量。</w:t>
      </w:r>
    </w:p>
    <w:p>
      <w:pPr>
        <w:spacing w:after="160" w:line="300"/>
      </w:pPr>
      <w:r>
        <w:rPr>
          <w:sz w:val="22"/>
          <w:szCs w:val="22"/>
        </w:rPr>
        <w:t xml:space="preserve">截至2026年9月11日，公司股价约16.60元，较52周高点33.67元回落约50.7%，处于MA5、MA10、MA20及布林中轨下方，均线呈弱势排列；动态市盈率约110—126倍，估值已反映较强的利润增长预期。16.0—16.3元为近期重要支撑区域，17.4—17.8元为短期压力和均线密集区，当前技术面更接近高位回撤后的弱势震荡。</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600552</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凯盛科技</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公司前身</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安徽方兴科技股份有限公司，曾用简称“方兴科技”</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报告口径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主要采用2025年年度报告，财务及产能数据原则上截至2025年12月31日；项目进展以2025年年报披露状态为准</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58.80亿元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2025年工业主营业务收入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57.64亿元，工业主营业务毛利率17.55%</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1.62亿元，按营业收入计算净利率约2.75%</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2025年主要业务结构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显示材料收入46.26亿元，占工业主营业务收入约80.2%；应用材料收入11.39亿元，占约19.8%</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资源属性</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不是以矿产资源开采为主的资源型公司，公开年报未披露大规模锆矿、石英矿等自有矿产资源储量数据</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显示材料：包括柔性可折叠玻璃UTG、超薄电子玻璃及玻璃原片、ITO导电膜玻璃、3A盖板玻璃、触控Sensor、面板减薄、液晶显示模组、触控显示一体化模组、车载显示模组及大尺寸显示模组。公司已形成从玻璃原片、超薄玻璃、ITO导电膜、盖板加工到显示模组的一体化产业链，但不包括液晶/OLED面板制造本身。</w:t>
      </w:r>
    </w:p>
    <w:p>
      <w:pPr>
        <w:pStyle w:val="ListParagraph"/>
        <w:numPr>
          <w:ilvl w:val="0"/>
          <w:numId w:val="2"/>
        </w:numPr>
        <w:spacing w:after="80" w:line="280"/>
      </w:pPr>
      <w:r>
        <w:rPr>
          <w:sz w:val="22"/>
          <w:szCs w:val="22"/>
        </w:rPr>
        <w:t xml:space="preserve">应用材料：围绕锆、硅、钛三类元素展开，产品包括电熔氧化锆、活性氧化锆、稳定氧化锆、纳米复合氧化锆、硅酸锆、球形二氧化硅、球形氧化铝、高纯石英砂、合成二氧化硅、电子级硅溶胶、纳米钛酸钡、纳米钛酸钾、稀土抛光粉及抛光液、空心玻璃微珠等。</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凯盛科技位于新型显示和先进材料产业链的中上游，业务覆盖材料原片、功能材料、精密加工及显示模组，属于“材料原片/功能材料—精密加工—显示模组”的综合型新材料企业。2025年公司工业主营业务收入主要来自显示材料，但应用材料仍覆盖锆系材料、电子封装粉体、高纯石英及纳米功能材料等细分领域。</w:t>
      </w:r>
    </w:p>
    <w:p>
      <w:pPr>
        <w:pStyle w:val="ListParagraph"/>
        <w:numPr>
          <w:ilvl w:val="0"/>
          <w:numId w:val="2"/>
        </w:numPr>
        <w:spacing w:after="80" w:line="280"/>
      </w:pPr>
      <w:r>
        <w:rPr>
          <w:sz w:val="22"/>
          <w:szCs w:val="22"/>
        </w:rPr>
        <w:t xml:space="preserve">显示材料业务主要采购玻璃原料及辅料，如石英砂、纯碱、石灰石、白云石、氧化铝等；同时涉及化学强化、减薄、切割、抛光及镀膜材料。</w:t>
      </w:r>
    </w:p>
    <w:p>
      <w:pPr>
        <w:pStyle w:val="ListParagraph"/>
        <w:numPr>
          <w:ilvl w:val="0"/>
          <w:numId w:val="2"/>
        </w:numPr>
        <w:spacing w:after="80" w:line="280"/>
      </w:pPr>
      <w:r>
        <w:rPr>
          <w:sz w:val="22"/>
          <w:szCs w:val="22"/>
        </w:rPr>
        <w:t xml:space="preserve">ITO导电膜业务需要铟锡氧化物靶材及相关电子化学品；显示模组需要液晶显示玻璃、偏光片、背光源、驱动电路、FPC、结构件及胶材；UTG和盖板玻璃还需要高强玻璃原片、化学强化材料、镀膜材料和精密加工设备。</w:t>
      </w:r>
    </w:p>
    <w:p>
      <w:pPr>
        <w:pStyle w:val="ListParagraph"/>
        <w:numPr>
          <w:ilvl w:val="0"/>
          <w:numId w:val="2"/>
        </w:numPr>
        <w:spacing w:after="80" w:line="280"/>
      </w:pPr>
      <w:r>
        <w:rPr>
          <w:sz w:val="22"/>
          <w:szCs w:val="22"/>
        </w:rPr>
        <w:t xml:space="preserve">应用材料业务主要采购锆系矿物或锆化合物、硅质原料、钛化合物、稀土化合物、高纯石英原料、化学试剂、特种粉体加工设备及电子封装粉体、抛光粉和纳米材料生产所需的化工辅料，并消耗电力、天然气、蒸汽等能源动力。</w:t>
      </w:r>
    </w:p>
    <w:p>
      <w:pPr>
        <w:pStyle w:val="ListParagraph"/>
        <w:numPr>
          <w:ilvl w:val="0"/>
          <w:numId w:val="2"/>
        </w:numPr>
        <w:spacing w:after="80" w:line="280"/>
      </w:pPr>
      <w:r>
        <w:rPr>
          <w:sz w:val="22"/>
          <w:szCs w:val="22"/>
        </w:rPr>
        <w:t xml:space="preserve">2025年年报未逐项披露各类原材料采购金额、采购价格和成本占比，因此无法据此计算石英砂、锆原料、钛原料或ITO靶材等具体成本比例。</w:t>
      </w:r>
    </w:p>
    <w:p>
      <w:pPr>
        <w:pStyle w:val="ListParagraph"/>
        <w:numPr>
          <w:ilvl w:val="0"/>
          <w:numId w:val="2"/>
        </w:numPr>
        <w:spacing w:after="80" w:line="280"/>
      </w:pPr>
      <w:r>
        <w:rPr>
          <w:sz w:val="22"/>
          <w:szCs w:val="22"/>
        </w:rPr>
        <w:t xml:space="preserve">2025年前五大供应商采购额为9.76亿元，占年度采购总额17.25%；前五大供应商均不是关联方，且不存在单一供应商采购比例超过50%的情况。但年报未披露主要供应商名称及各供应商具体采购占比，无法进一步判断某一种关键原料的供应集中度。</w:t>
      </w:r>
    </w:p>
    <w:p>
      <w:pPr>
        <w:pStyle w:val="ListParagraph"/>
        <w:numPr>
          <w:ilvl w:val="0"/>
          <w:numId w:val="2"/>
        </w:numPr>
        <w:spacing w:after="80" w:line="280"/>
      </w:pPr>
      <w:r>
        <w:rPr>
          <w:sz w:val="22"/>
          <w:szCs w:val="22"/>
        </w:rPr>
        <w:t xml:space="preserve">普通玻璃原料、能源和部分化工辅料相对标准化，公司具有一定采购规模和多供应商选择能力；高端玻璃原片、ITO靶材、精密设备及部分电子元器件的质量认证要求较高，供应商切换成本较高。</w:t>
      </w:r>
    </w:p>
    <w:p>
      <w:pPr>
        <w:pStyle w:val="ListParagraph"/>
        <w:numPr>
          <w:ilvl w:val="0"/>
          <w:numId w:val="2"/>
        </w:numPr>
        <w:spacing w:after="80" w:line="280"/>
      </w:pPr>
      <w:r>
        <w:rPr>
          <w:sz w:val="22"/>
          <w:szCs w:val="22"/>
        </w:rPr>
        <w:t xml:space="preserve">锆、硅、钛及稀土等基础材料价格受大宗商品和行业供需影响，公司对部分上游成本仍是价格接受者。公司的成本优势更多来自良率提升、产线自动化、内部协同和规模采购，而非对矿产资源价格的绝对控制。</w:t>
      </w:r>
    </w:p>
    <w:p>
      <w:pPr>
        <w:pStyle w:val="ListParagraph"/>
        <w:numPr>
          <w:ilvl w:val="0"/>
          <w:numId w:val="2"/>
        </w:numPr>
        <w:spacing w:after="80" w:line="280"/>
      </w:pPr>
      <w:r>
        <w:rPr>
          <w:sz w:val="22"/>
          <w:szCs w:val="22"/>
        </w:rPr>
        <w:t xml:space="preserve">2024年债券募集说明书曾披露显示材料板块主要供应商包括LG Display以及路必康（香港）电子技术有限公司等电子元器件供应商，但该信息时间较早，不能完全替代2025年年报口径。</w:t>
      </w:r>
    </w:p>
    <w:p>
      <w:pPr>
        <w:pStyle w:val="ListParagraph"/>
        <w:numPr>
          <w:ilvl w:val="0"/>
          <w:numId w:val="2"/>
        </w:numPr>
        <w:spacing w:after="80" w:line="280"/>
      </w:pPr>
      <w:r>
        <w:rPr>
          <w:sz w:val="22"/>
          <w:szCs w:val="22"/>
        </w:rPr>
        <w:t xml:space="preserve">显示材料下游包括LCD/OLED面板厂、手机、平板、笔记本和智能穿戴品牌及其代工厂、汽车整车厂、车载显示系统供应商和Tier 1，以及智能家居、工业控制、医疗显示和商显客户。</w:t>
      </w:r>
    </w:p>
    <w:p>
      <w:pPr>
        <w:pStyle w:val="ListParagraph"/>
        <w:numPr>
          <w:ilvl w:val="0"/>
          <w:numId w:val="2"/>
        </w:numPr>
        <w:spacing w:after="80" w:line="280"/>
      </w:pPr>
      <w:r>
        <w:rPr>
          <w:sz w:val="22"/>
          <w:szCs w:val="22"/>
        </w:rPr>
        <w:t xml:space="preserve">应用材料下游包括半导体封装、电子元件、MLCC、先进陶瓷、耐火材料、汽车刹车片、光伏和半导体企业。</w:t>
      </w:r>
    </w:p>
    <w:p>
      <w:pPr>
        <w:pStyle w:val="ListParagraph"/>
        <w:numPr>
          <w:ilvl w:val="0"/>
          <w:numId w:val="2"/>
        </w:numPr>
        <w:spacing w:after="80" w:line="280"/>
      </w:pPr>
      <w:r>
        <w:rPr>
          <w:sz w:val="22"/>
          <w:szCs w:val="22"/>
        </w:rPr>
        <w:t xml:space="preserve">2025年前五大客户销售额为26.21亿元，占年度销售总额44.57%，其中关联方销售额为0；公司披露不存在单个客户销售比例超过50%、前五大客户严重依赖等情形。该数据为2025年年报口径，但年报未披露前五大客户具体名称及单个客户占比，无法判断具体面板厂、手机品牌或汽车客户的单一依赖程度。</w:t>
      </w:r>
    </w:p>
    <w:p>
      <w:pPr>
        <w:pStyle w:val="ListParagraph"/>
        <w:numPr>
          <w:ilvl w:val="0"/>
          <w:numId w:val="2"/>
        </w:numPr>
        <w:spacing w:after="80" w:line="280"/>
      </w:pPr>
      <w:r>
        <w:rPr>
          <w:sz w:val="22"/>
          <w:szCs w:val="22"/>
        </w:rPr>
        <w:t xml:space="preserve">面板和消费电子客户采购规模大、认证周期长，产品切换需要验证良率、可靠性和供货稳定性；同时消费电子更新速度快，产品价格存在持续下降压力，显示模组客户通常具有较强采购议价能力。</w:t>
      </w:r>
    </w:p>
    <w:p>
      <w:pPr>
        <w:pStyle w:val="ListParagraph"/>
        <w:numPr>
          <w:ilvl w:val="0"/>
          <w:numId w:val="2"/>
        </w:numPr>
        <w:spacing w:after="80" w:line="280"/>
      </w:pPr>
      <w:r>
        <w:rPr>
          <w:sz w:val="22"/>
          <w:szCs w:val="22"/>
        </w:rPr>
        <w:t xml:space="preserve">汽车显示项目认证周期更长，但进入车型量产后供应关系相对稳定；UTG、高端盖板、车载模组和半导体材料的议价能力相对高于普通显示模组，但仍取决于客户认证和量产规模。</w:t>
      </w:r>
    </w:p>
    <w:p>
      <w:pPr>
        <w:pStyle w:val="ListParagraph"/>
        <w:numPr>
          <w:ilvl w:val="0"/>
          <w:numId w:val="2"/>
        </w:numPr>
        <w:spacing w:after="80" w:line="280"/>
      </w:pPr>
      <w:r>
        <w:rPr>
          <w:sz w:val="22"/>
          <w:szCs w:val="22"/>
        </w:rPr>
        <w:t xml:space="preserve">公司年报披露UTG产品独供头部终端多款旗舰手机，但具体客户名称和订单金额未全部公开披露；赛力斯全新问界M7、吉利星越L等车载显示项目已经实现量产。</w:t>
      </w:r>
    </w:p>
    <w:p>
      <w:pPr>
        <w:pStyle w:val="ListParagraph"/>
        <w:numPr>
          <w:ilvl w:val="0"/>
          <w:numId w:val="2"/>
        </w:numPr>
        <w:spacing w:after="80" w:line="280"/>
      </w:pPr>
      <w:r>
        <w:rPr>
          <w:sz w:val="22"/>
          <w:szCs w:val="22"/>
        </w:rPr>
        <w:t xml:space="preserve">截至2025年12月31日，应收账款账面价值14.69亿元，占年末资产总额11.92%，约相当于2025年营业收入的25.0%；应付账款12.51亿元、应付票据5.30亿元，合计约17.81亿元；合同负债0.27亿元。应收账款明显高于合同负债，表明公司总体上需要先投入生产并向客户提供一定账期，客户在结算环节具有一定议价能力；同时公司也利用供应商账期和票据结算缓解营运资金压力。2024年债券募集说明书披露显示材料业务下游结算周期主要为30—90天，该数据属于历史口径，不是2025年年报最新披露；由于应收账款、应付账款统计口径和账龄结构不同，不能仅据此认定公司完全拥有上下游资金优势。</w:t>
      </w:r>
    </w:p>
    <w:p>
      <w:pPr>
        <w:pStyle w:val="ListParagraph"/>
        <w:numPr>
          <w:ilvl w:val="0"/>
          <w:numId w:val="2"/>
        </w:numPr>
        <w:spacing w:after="80" w:line="280"/>
      </w:pPr>
      <w:r>
        <w:rPr>
          <w:sz w:val="22"/>
          <w:szCs w:val="22"/>
        </w:rPr>
        <w:t xml:space="preserve">客户端：2025年前五大客户销售额占年度销售总额44.57%，关联方销售额为0，年报未披露客户名称及单个客户占比，因此只能判断总体集中度，无法识别具体客户风险。供应端：2025年前五大供应商采购额占年度采购总额17.25%，前五大供应商均非关联方，且不存在单一供应商采购比例超过50%的情况；但主要供应商名称及单个供应商采购占比未披露，无法判断关键原料的实际供应集中度。上述集中度数据均以2025年年报口径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整体毛利率约13.25%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约3.00%</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营业收入50.10亿元、净利润1.50亿元。消费电子需求偏弱、业务竞争和资产减值等因素压制利润，显示材料及模组业务仍受到客户议价和价格竞争影响。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工业主营业务毛利率17.06%；显示材料毛利率17.43%，应用材料毛利率15.92%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约3.98%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营业收入48.94亿元、净利润1.95亿元。显示材料收入增长、应用材料收入下降，但成本下降幅度较大，整体毛利率和净利率改善。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工业主营业务毛利率17.55%；显示材料毛利率17.89%，应用材料毛利率16.13%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约2.75%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营业收入58.80亿元、净利润1.62亿元。显示材料收入增长31.40%、销量大幅增长，但研发投入、产线建设、折旧及部分业务盈利能力等因素使净利润未同步增长；显示材料毛利率仅提升0.46个百分点，尚未体现出很强的定价权。</w:t>
            </w:r>
          </w:p>
        </w:tc>
      </w:tr>
    </w:tbl>
    <w:p>
      <w:pPr>
        <w:spacing w:before="200"/>
      </w:pPr>
    </w:p>
    <w:p>
      <w:pPr>
        <w:spacing w:after="160" w:line="300"/>
      </w:pPr>
      <w:r>
        <w:rPr>
          <w:sz w:val="22"/>
          <w:szCs w:val="22"/>
        </w:rPr>
        <w:t xml:space="preserve">凯盛科技处于新型显示及先进材料产业链的中上游。传统超薄玻璃、ITO和普通显示模组偏向中游制造，客户议价能力较强，利润主要受规模、良率、折旧和价格竞争影响；UTG、高端盖板、车载模组、半导体级高纯石英、电子封装球形粉体和纳米功能材料具有更高的技术及认证壁垒，具备向微笑曲线两端上移的潜力。公司不是依靠矿产资源垄断或终端品牌溢价取胜，未来利润改善主要取决于UTG和车载显示放量、产品结构升级、产线良率提升，以及高纯石英、球形粉体、纳米氧化锆和纳米钛酸钡等高附加值材料由小批量验证转向规模化供应。</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31.11亿元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+12.54%</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归属于上市公司股东的净利润6320.21万元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+22.71%</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2026年第二季度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约16.56亿元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+10.40%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归属于上市公司股东的净利润约3500万元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+27.56%</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58.80亿元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+20.15%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归属于上市公司股东的净利润1.2867亿元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-8.20%</w:t>
            </w:r>
          </w:p>
        </w:tc>
      </w:tr>
    </w:tbl>
    <w:p>
      <w:pPr>
        <w:spacing w:after="200"/>
      </w:pPr>
      <w:r>
        <w:rPr>
          <w:i/>
          <w:iCs/>
          <w:color w:val="595959"/>
          <w:sz w:val="18"/>
          <w:szCs w:val="18"/>
        </w:rPr>
        <w:t xml:space="preserve">最新已披露定期报告为2026年半年度报告，披露日期为2026年8月26日。2026年上半年扣除非经常性损益后的归母净利润为4252.33万元，同比增长47.43%；基本每股收益0.0669元，加权平均净资产收益率1.48%。同期经营活动产生的现金流量净额为1.658亿元，同比下降35.84%。截至2026年6月30日，总资产130.41亿元，归属于上市公司股东的净资产43.29亿元，资产负债率约63.16%。</w:t>
      </w:r>
    </w:p>
    <w:p>
      <w:pPr>
        <w:spacing w:after="160" w:line="300"/>
      </w:pPr>
      <w:r>
        <w:rPr>
          <w:sz w:val="22"/>
          <w:szCs w:val="22"/>
        </w:rPr>
        <w:t xml:space="preserve">2026年上半年收入和归母净利润均实现增长，扣非归母净利润增速达到47.43%，高于归母净利润增速，显示主业盈利改善较为明显。2025年收入增长与归母净利润下降并存，2026年上半年盈利修复迹象有所改善，但利润规模相对收入体量仍然较小，按归母净利润计算的上半年净利率约为2.03%。2026年第二季度归母净利润同比增长27.56%、环比增长26.38%，华泰证券认为基本符合此前预期。</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同花顺盈利预测页面截至2026年8月28日显示，近6个月共有3家机构进行预测，但公开展开的详细预测主要显示华泰证券和中邮证券两家机构，第三家机构的具体预测值未完整展示。因此，2026—2028年平均预测属于数据终端汇总口径，不宜理解为完整、透明的多机构一致预期。公开预测中，2026年归母净利润区间约为1.78亿至2.12亿元，2027年约为2.60亿至3.38亿元，2028年约为3.36亿至5.28亿元。</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机构平均预测约67.03亿元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机构平均预测约1.96亿元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较2025年约增长52.01%</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约0.21元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机构平均预测约78.48亿元</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机构平均预测约2.87亿元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约0.31元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机构平均预测约94.98亿元</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机构平均预测约4.03亿元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约0.43元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华泰证券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2026年9月4日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维持“买入”评级，目标价上调至21.01元；预计2026—2028年归母净利润分别为1.78亿元、2.60亿元和3.36亿元，采用2027年PEG估值并给予2.04倍2027年PEG。</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中邮证券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预计2026年归母净利润1.97亿元，未给出目标价。</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长江证券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2026年5月12日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预测2026年归母净利润约2.12亿元，公开页面未显示目标价。</w:t>
            </w:r>
          </w:p>
        </w:tc>
      </w:tr>
    </w:tbl>
    <w:p>
      <w:pPr>
        <w:spacing w:before="200"/>
      </w:pPr>
    </w:p>
    <w:p>
      <w:pPr>
        <w:spacing w:after="160" w:line="300"/>
      </w:pPr>
      <w:r>
        <w:rPr>
          <w:sz w:val="22"/>
          <w:szCs w:val="22"/>
        </w:rPr>
        <w:t xml:space="preserve">截至2026年9月11日收盘，股价约16.60元；按总股本约9.45亿股计算，总市值约156.8亿元。理杏仁截至2026年9月8日显示PE-TTM约113.06倍、PB约3.67倍，历史PE分位点约82.32%，高于历史中位数90.57倍；中财网2026年9月11日盘中数据显示PE约110.03倍、扣非PE约147.09倍、PB约3.21倍。不同平台因盈利口径、股价时点及净资产计算方式不同，估值数据存在差异。按2026年9月11日收盘价和机构平均预测EPS计算，2026—2028年预测PE分别约为79倍、54倍和39倍；按2026年6月30日每股净资产约4.58元粗略计算，静态PB约3.62倍。历史公开目标价包括华泰证券2026年4月的13.66元、国金证券2026年1月的20.10元及华泰证券2026年9月4日的21.01元；同花顺2026年8月5日汇总的近6个月平均目标价为13.66元，可能未包含最新上调的21.01元。当前静态PE超过100倍、滚动PE约110—113倍，估值已包含较强的未来利润增长预期，估值消化主要取决于2026年下半年及2027年UTG、高纯石英砂、玻璃基板等新产品和新产能的实际放量速度。</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2026年半年度业绩：收入与利润同比增长，经营现金流下降</w:t>
      </w:r>
    </w:p>
    <w:p>
      <w:pPr>
        <w:spacing w:after="160" w:line="300"/>
      </w:pPr>
      <w:r>
        <w:rPr>
          <w:sz w:val="22"/>
          <w:szCs w:val="22"/>
        </w:rPr>
        <w:t xml:space="preserve">公司于2026年8月26日披露未经审计的2026年半年度报告。2026年1—6月实现营业收入31.11亿元，同比增长12.54%；利润总额9396.13万元，同比增长15.15%；归属于上市公司股东的净利润6320.21万元，同比增长22.71%；扣除非经常性损益后的归母净利润4252.33万元，同比增长47.43%；基本每股收益0.0669元，同比增长22.75%；经营活动现金流量净额1.66亿元，同比下降35.84%。上半年计入非经常性损益的政府补助约2998.80万元。</w:t>
      </w:r>
    </w:p>
    <w:p>
      <w:pPr>
        <w:pStyle w:val="Heading2"/>
        <w:spacing w:after="120" w:before="240"/>
      </w:pPr>
      <w:r>
        <w:rPr>
          <w:b/>
          <w:bCs/>
          <w:color w:val="2E74B5"/>
          <w:sz w:val="24"/>
          <w:szCs w:val="24"/>
        </w:rPr>
        <w:t xml:space="preserve">4.2 2026年上半年分业务及子公司经营情况</w:t>
      </w:r>
    </w:p>
    <w:p>
      <w:pPr>
        <w:spacing w:after="160" w:line="300"/>
      </w:pPr>
      <w:r>
        <w:rPr>
          <w:sz w:val="22"/>
          <w:szCs w:val="22"/>
        </w:rPr>
        <w:t xml:space="preserve">2026年上半年，公司显示材料收入约24.33亿元，应用材料收入约6.29亿元，其他业务收入约4875.08万元。子公司方面，深圳国显营业收入约20.29亿元，净利润亏损461.87万元；凯盛应材营业收入约3.27亿元，净利润2146.84万元。</w:t>
      </w:r>
    </w:p>
    <w:p>
      <w:pPr>
        <w:pStyle w:val="Heading2"/>
        <w:spacing w:after="120" w:before="240"/>
      </w:pPr>
      <w:r>
        <w:rPr>
          <w:b/>
          <w:bCs/>
          <w:color w:val="2E74B5"/>
          <w:sz w:val="24"/>
          <w:szCs w:val="24"/>
        </w:rPr>
        <w:t xml:space="preserve">4.3 TGV先进封装玻璃中试线计划投资约1.5亿元</w:t>
      </w:r>
    </w:p>
    <w:p>
      <w:pPr>
        <w:spacing w:after="160" w:line="300"/>
      </w:pPr>
      <w:r>
        <w:rPr>
          <w:sz w:val="22"/>
          <w:szCs w:val="22"/>
        </w:rPr>
        <w:t xml:space="preserve">公司于2026年7月28日披露第九届董事会第九次会议决议公告，审议通过建设TGV先进封装玻璃中试线的议案。项目拟在蚌埠市高新区超薄柔性电子玻璃（UTG）二期项目厂区内建设，用于关键工艺优化研发、产品试制和客户验证，计划总投资约1.5亿元。议案表决结果为7票通过、0票反对、0票弃权。公司提示，项目实施周期、研发推进和市场开拓存在不确定性，目前不应直接等同于已形成大规模商业收入或确定订单。</w:t>
      </w:r>
    </w:p>
    <w:p>
      <w:pPr>
        <w:pStyle w:val="Heading2"/>
        <w:spacing w:after="120" w:before="240"/>
      </w:pPr>
      <w:r>
        <w:rPr>
          <w:b/>
          <w:bCs/>
          <w:color w:val="2E74B5"/>
          <w:sz w:val="24"/>
          <w:szCs w:val="24"/>
        </w:rPr>
        <w:t xml:space="preserve">4.4 参加2026年安徽上市公司投资者网上集体接待日</w:t>
      </w:r>
    </w:p>
    <w:p>
      <w:pPr>
        <w:spacing w:after="160" w:line="300"/>
      </w:pPr>
      <w:r>
        <w:rPr>
          <w:sz w:val="22"/>
          <w:szCs w:val="22"/>
        </w:rPr>
        <w:t xml:space="preserve">公司于2026年9月10日披露相关公告，计划于2026年9月17日15:30—17:00参加“2026年安徽上市公司投资者网上集体接待日”活动，形式为网络远程交流。公司高管将围绕公司业绩、公司治理、发展战略、经营状况、融资计划、股权激励和可持续发展等问题与投资者沟通。截至2026年9月13日，活动尚未举行，暂无可核实的问答内容或新增经营信息。</w:t>
      </w:r>
    </w:p>
    <w:p>
      <w:pPr>
        <w:pStyle w:val="Heading2"/>
        <w:spacing w:after="120" w:before="240"/>
      </w:pPr>
      <w:r>
        <w:rPr>
          <w:b/>
          <w:bCs/>
          <w:color w:val="2E74B5"/>
          <w:sz w:val="24"/>
          <w:szCs w:val="24"/>
        </w:rPr>
        <w:t xml:space="preserve">4.5 2026年第一次临时股东会将于9月14日召开</w:t>
      </w:r>
    </w:p>
    <w:p>
      <w:pPr>
        <w:spacing w:after="160" w:line="300"/>
      </w:pPr>
      <w:r>
        <w:rPr>
          <w:sz w:val="22"/>
          <w:szCs w:val="22"/>
        </w:rPr>
        <w:t xml:space="preserve">公司于2026年9月1日披露2026年第一次临时股东会会议资料，会议安排于2026年9月14日召开。主要审议事项包括续聘致同会计师事务所、2026年度董事薪酬方案，以及选举杨仕兵、李宗群为第九届董事会独立董事。截至2026年9月13日，股东会尚未召开，独立董事补选结果及议案表决结果待确认。</w:t>
      </w:r>
    </w:p>
    <w:p>
      <w:pPr>
        <w:pStyle w:val="Heading2"/>
        <w:spacing w:after="120" w:before="240"/>
      </w:pPr>
      <w:r>
        <w:rPr>
          <w:b/>
          <w:bCs/>
          <w:color w:val="2E74B5"/>
          <w:sz w:val="24"/>
          <w:szCs w:val="24"/>
        </w:rPr>
        <w:t xml:space="preserve">4.6 独立董事任期届满并提名补选候选人</w:t>
      </w:r>
    </w:p>
    <w:p>
      <w:pPr>
        <w:spacing w:after="160" w:line="300"/>
      </w:pPr>
      <w:r>
        <w:rPr>
          <w:sz w:val="22"/>
          <w:szCs w:val="22"/>
        </w:rPr>
        <w:t xml:space="preserve">公司于2026年8月26日公告称，独立董事安广实、张林连续任职将于2026年9月14日满6年，任期届满后不再担任公司任何职务。公司提名杨仕兵、李宗群为独立董事候选人，两名候选人的任职资格和选举结果仍需以2026年9月14日临时股东会表决结果为准。</w:t>
      </w:r>
    </w:p>
    <w:p>
      <w:pPr>
        <w:pStyle w:val="Heading2"/>
        <w:spacing w:after="120" w:before="240"/>
      </w:pPr>
      <w:r>
        <w:rPr>
          <w:b/>
          <w:bCs/>
          <w:color w:val="2E74B5"/>
          <w:sz w:val="24"/>
          <w:szCs w:val="24"/>
        </w:rPr>
        <w:t xml:space="preserve">4.7 前十大股东持股较2026年一季度减少</w:t>
      </w:r>
    </w:p>
    <w:p>
      <w:pPr>
        <w:spacing w:after="160" w:line="300"/>
      </w:pPr>
      <w:r>
        <w:rPr>
          <w:sz w:val="22"/>
          <w:szCs w:val="22"/>
        </w:rPr>
        <w:t xml:space="preserve">截至2026年6月30日，前十大股东合计持有公司约3.34亿股，占总股本约35.41%，较2026年3月31日减少约2294.42万股。凯盛科技集团有限公司持股约2.77亿股，占总股本29.28%，持股基本未变；香港中央结算有限公司持股约1963.05万股，占比2.08%；陈雷持股700万股；高盛国际—自有资金和宋万里新进入前十大股东，分别持股约688.12万股和约406.15万股；广东东方精工科技股份有限公司持股约400万股，较上期减少约1453.09万股。上述数据反映截至2026年6月30日的股东名册变化，不等同于近期单笔增持或减持公告。</w:t>
      </w:r>
    </w:p>
    <w:p>
      <w:pPr>
        <w:pStyle w:val="Heading2"/>
        <w:spacing w:after="120" w:before="240"/>
      </w:pPr>
      <w:r>
        <w:rPr>
          <w:b/>
          <w:bCs/>
          <w:color w:val="2E74B5"/>
          <w:sz w:val="24"/>
          <w:szCs w:val="24"/>
        </w:rPr>
        <w:t xml:space="preserve">4.8 截至9月13日未检索到回购、重大并购或近期增减持计划公告</w:t>
      </w:r>
    </w:p>
    <w:p>
      <w:pPr>
        <w:spacing w:after="160" w:line="300"/>
      </w:pPr>
      <w:r>
        <w:rPr>
          <w:sz w:val="22"/>
          <w:szCs w:val="22"/>
        </w:rPr>
        <w:t xml:space="preserve">截至2026年9月13日，未检索到公司在2026年6月至9月期间披露股份回购方案、回购进展或回购完成公告；未检索到控股股东凯盛科技集团有限公司近期增持或减持计划公告；未检索到公司正在筹划重大资产重组、发行股份购买资产、重大并购或控制权变更的正式公告。TGV先进封装玻璃中试线属于公司内部产业投资项目，并非并购重组。</w:t>
      </w:r>
    </w:p>
    <w:p>
      <w:pPr>
        <w:pStyle w:val="Heading2"/>
        <w:spacing w:after="120" w:before="240"/>
      </w:pPr>
      <w:r>
        <w:rPr>
          <w:b/>
          <w:bCs/>
          <w:color w:val="2E74B5"/>
          <w:sz w:val="24"/>
          <w:szCs w:val="24"/>
        </w:rPr>
        <w:t xml:space="preserve">4.9 2026年7月股票交易出现两次异常波动</w:t>
      </w:r>
    </w:p>
    <w:p>
      <w:pPr>
        <w:spacing w:after="160" w:line="300"/>
      </w:pPr>
      <w:r>
        <w:rPr>
          <w:sz w:val="22"/>
          <w:szCs w:val="22"/>
        </w:rPr>
        <w:t xml:space="preserve">公司分别于2026年7月1日、7月4日披露股票交易异常波动相关公告。公司股票于2026年6月26日、6月29日、6月30日连续三个交易日收盘价格涨幅偏离值累计达到20%；于2026年7月1日至7月3日连续三个交易日收盘价格跌幅偏离值累计达到20%。公司核查后表示，未发现应披露而未披露的重大信息，生产经营情况正常，主营业务没有发生重大变化，控股股东、实际控制人及董监高在相关异常波动期间未买卖公司股票，也未发现对股价可能产生较大影响的重大媒体报道或市场传闻，并提示投资者注意二级市场交易风险。</w:t>
      </w:r>
    </w:p>
    <w:p>
      <w:pPr>
        <w:pStyle w:val="Heading2"/>
        <w:spacing w:after="120" w:before="240"/>
      </w:pPr>
      <w:r>
        <w:rPr>
          <w:b/>
          <w:bCs/>
          <w:color w:val="2E74B5"/>
          <w:sz w:val="24"/>
          <w:szCs w:val="24"/>
        </w:rPr>
        <w:t xml:space="preserve">4.10 截至9月13日未检索到新增监管处罚或立案调查公告</w:t>
      </w:r>
    </w:p>
    <w:p>
      <w:pPr>
        <w:spacing w:after="160" w:line="300"/>
      </w:pPr>
      <w:r>
        <w:rPr>
          <w:sz w:val="22"/>
          <w:szCs w:val="22"/>
        </w:rPr>
        <w:t xml:space="preserve">截至2026年9月13日，未检索到2026年内针对凯盛科技上市公司的新增立案调查、行政处罚、纪律处分或监管警示公告。公开资料中涉及公司控股集团、历史事项或其他关联主体的监管信息，不直接等同于凯盛科技上市公司的最新监管状态。</w:t>
      </w:r>
    </w:p>
    <w:p>
      <w:pPr>
        <w:pStyle w:val="Heading2"/>
        <w:spacing w:after="120" w:before="240"/>
      </w:pPr>
      <w:r>
        <w:rPr>
          <w:b/>
          <w:bCs/>
          <w:color w:val="2E74B5"/>
          <w:sz w:val="24"/>
          <w:szCs w:val="24"/>
        </w:rPr>
        <w:t xml:space="preserve">4.11 关联金融业务持续风险评估及资金占用情况</w:t>
      </w:r>
    </w:p>
    <w:p>
      <w:pPr>
        <w:spacing w:after="160" w:line="300"/>
      </w:pPr>
      <w:r>
        <w:rPr>
          <w:sz w:val="22"/>
          <w:szCs w:val="22"/>
        </w:rPr>
        <w:t xml:space="preserve">公司于2026年8月26日披露在中国建材集团财务有限公司办理存贷款业务的持续风险评估报告。董事会审议该事项时，关联董事回避表决，最终6票通过、0票反对、0票弃权。该事项属于关联金融业务风险管理和合规性披露，不代表公司出现资金占用或财务公司经营异常。半年度报告同时披露，公司不存在控股股东及其他关联方非经营性资金占用情况。</w:t>
      </w:r>
    </w:p>
    <w:p>
      <w:pPr>
        <w:pStyle w:val="Heading2"/>
        <w:spacing w:after="120" w:before="240"/>
      </w:pPr>
      <w:r>
        <w:rPr>
          <w:b/>
          <w:bCs/>
          <w:color w:val="2E74B5"/>
          <w:sz w:val="24"/>
          <w:szCs w:val="24"/>
        </w:rPr>
        <w:t xml:space="preserve">4.12 暂无2026年三季度或全年正式业绩预告</w:t>
      </w:r>
    </w:p>
    <w:p>
      <w:pPr>
        <w:spacing w:after="160" w:line="300"/>
      </w:pPr>
      <w:r>
        <w:rPr>
          <w:sz w:val="22"/>
          <w:szCs w:val="22"/>
        </w:rPr>
        <w:t xml:space="preserve">截至2026年9月13日，公开公告列表中未检索到公司针对2026年三季度或全年发布的正式业绩预告、业绩快报或明确盈利指引。2026年半年度报告属于定期报告，不等同于业绩预告；上述信息基于截至2026年9月10日更新的公告列表，后续仍可能出现新公告。</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证券识别</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股票代码600552，股票简称凯盛科技，上市市场为上海证券交易所</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16.60—16.61元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-1.19%至-1.25%</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16.57—16.58元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16.87—16.89元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当日最低价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约16.03元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约3,437万股；另一行情口径为345,314手</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约5.69亿元；另一行情口径为5.6853亿元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约3.66%</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约156.9—157.0亿元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总股本及流通股本</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总股本约9.45亿股，流通股本约9.45亿股</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不同口径约110—126倍，属于较高估值区间</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10.56—33.67元；52周高点约于2026年6月30日附近出现</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阶段走势特征</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2026年6月底冲高至33.67元后快速回落，7月中旬跌至约16元附近，8月初反弹至20元附近，8月中旬再次冲高至20.20元，随后回落至16.60元附近，整体呈现高位快速回撤后的弱势震荡</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约16.86元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收盘价低于MA5约1.5%，短线价格弱于5日均线</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约17.28元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收盘价低于MA10约3.9%，反弹面临短期均线压制</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约17.74元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收盘价低于MA20约6.4%，中短期趋势仍偏弱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均线排列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MA5低于MA10，MA10低于MA20</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尚未形成多头排列；若不能重新站回17.3—17.8元，反弹更偏向弱势修复而非趋势反转</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MACD(12,26,9)</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截至2026年9月11日未取得可由第二来源交叉核实的具体数值</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无法确认当前是否形成死叉、DIF和DEA是否位于零轴下方；2026年6月30日曾披露的MACD(12,26)约1.80不代表当前状态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约33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低于40，显示近期下跌动能占优，已接近弱势偏超卖区域，但尚未达到极端超卖水平</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约34—35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基于近期收盘价简单涨跌幅估算，显示短线偏弱；不等同于交易软件采用Wilder平滑算法的精确值</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布林中轨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约17.74元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股价位于中轨下方，趋势偏弱；重新站上17.7—17.8元才显示弱势结构有所改善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布林上轨</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约19.27元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为近期20个交易日收盘价测算值，当前价格距离上轨较远</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约16.22元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最新收盘价接近下轨；若16.0—16.2元区域有效跌破，调整空间可能向15元附近扩大</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近10个交易日成交额</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约4.19—9.97亿元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9月11日成交额5.69亿元，处于近期中等水平，未出现明显极端缩量或极端放量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近10个交易日换手率</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约2.64%—5.82%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9月11日换手率3.66%，处于近期区间中部</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主力资金</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截至2026年9月11日当日出现主力资金净卖出，但具体金额未取得；截至2026年9月3日，近5日净流出约1.70亿元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近期资金面偏谨慎，尚未出现持续、明确的主力净流入趋势；不同平台统计口径可能存在差异</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融资资金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截至2026年9月10日，融资买入约3343.38万元，融资余额约9.90亿元，占流通市值约6.23%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融资余额处于近一年较高分位附近，股价波动可能受到杠杆资金平仓、减仓或风险偏好变化影响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股东户数与前十大股东持股</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截至2026年3月31日，股东户数约5.86万户，前十大股东合计持股约37.84%，筹码集中度被标注为“非常分散”</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数据存在季度披露滞后，不完全代表2026年9月11日实时筹码结构；公开检索不足以确认最新前十大流通股东中公募基金、社保基金、QFII的完整持仓情况</w:t>
            </w:r>
          </w:p>
        </w:tc>
      </w:tr>
    </w:tbl>
    <w:p>
      <w:pPr>
        <w:spacing w:before="200"/>
      </w:pPr>
    </w:p>
    <w:p>
      <w:pPr>
        <w:spacing w:after="160" w:line="300"/>
      </w:pPr>
      <w:r>
        <w:rPr>
          <w:sz w:val="22"/>
          <w:szCs w:val="22"/>
        </w:rPr>
        <w:t xml:space="preserve">截至2026年9月11日，凯盛科技收盘于16.60—16.61元，较52周高点33.67元回落约50.7%，但较52周低点10.56元上涨约57.2%。股价位于MA5、MA10、MA20及布林中轨下方，且均线呈MA5低于MA10、MA10低于MA20的弱势排列，整体技术面偏弱。RSI6约33、RSI14约34—35，显示价格已接近弱势偏超卖区域，存在技术性修复可能，但尚不足以确认趋势反转。近期成交额和换手率处于自身正常区间中部，主力资金统计偏净流出，股东结构数据则显示筹码相对分散且存在季度滞后。短线重点观察16.0—16.3元支撑以及17.4—17.8元压力和均线密集区域。</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17.4—17.8元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由近期交易密集区、MA20约17.74元及近期反弹高点等因素构成。若放量突破并连续站稳17.8元，上方可观察18.3—18.6元区域。</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16.0—16.3元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参考9月11日盘中低点约16.03元、布林下轨约16.22元及前期阶段性交易区域。若有效跌破16.0元，下方支撑需要下移。</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15.0—15.7元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参考8月4日盘中低点约14.98元及15.11—15.73元附近筹码密集区。若该区间被放量跌破，调整可能进一步向14.0—14.7元区域寻找支撑。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至六成；为基于当前技术与资金面的主观启发式权重，不是统计概率）：参考价格区间为16.0—17.5元。触发条件包括守住16.0—16.3元，成交额维持约4.5—7.0亿元近期正常区间，没有新的明显利空，电子及光学光电子板块不持续大幅走弱，同时17.3—17.8元附近仍受均线压制。该情景下，价格可能在16元至17元附近反复震荡，指标逐步修复但尚不足以确认趋势反转。</w:t>
      </w:r>
    </w:p>
    <w:p>
      <w:pPr>
        <w:pStyle w:val="ListParagraph"/>
        <w:numPr>
          <w:ilvl w:val="0"/>
          <w:numId w:val="2"/>
        </w:numPr>
        <w:spacing w:after="80" w:line="280"/>
      </w:pPr>
      <w:r>
        <w:rPr>
          <w:sz w:val="22"/>
          <w:szCs w:val="22"/>
        </w:rPr>
        <w:t xml:space="preserve">偏弱下行（权重中等，约三成；为基于当前技术与资金面的主观启发式权重，不是统计概率）：参考价格区间为15.0—16.2元。触发条件包括收盘价有效跌破16.0元，且成交额明显高于近期均值、达到约8亿元或以上；同时主力资金继续净流出或相关电子、光学光电子板块同步走弱，RSI6继续低于30附近且价格不能快速收回16.2元。若条件组合出现，需观察15.0—15.7元强支撑；若15元附近承接不足，则关注14元附近下一支撑区域。</w:t>
      </w:r>
    </w:p>
    <w:p>
      <w:pPr>
        <w:pStyle w:val="ListParagraph"/>
        <w:numPr>
          <w:ilvl w:val="0"/>
          <w:numId w:val="2"/>
        </w:numPr>
        <w:spacing w:after="80" w:line="280"/>
      </w:pPr>
      <w:r>
        <w:rPr>
          <w:sz w:val="22"/>
          <w:szCs w:val="22"/>
        </w:rPr>
        <w:t xml:space="preserve">反弹走强（权重偏低，约一成至两成；为基于当前技术与资金面的主观启发式权重，不是统计概率）：参考价格区间为17.5—18.6元。触发条件包括重新站上17.4—17.8元，成交额连续放大至8亿元以上，收盘价站稳17.7—17.8元附近的20日均线区域，主力资金由净流出转为连续净流入或出现明确题材催化，且RSI6由30附近回升至40—50区间，MACD出现可核实的金叉或绿柱明显收窄。若上述条件同时出现，可观察18.3—18.6元区域；在未放量突破前，仍应视为超跌修复而非已确认的中期反转。</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当日成交额约5.69亿元、换手率约3.66%；最近10个交易日成交额约4.19—9.97亿元、换手率约2.64%—5.82%，最近5个交易日平均成交额约6.27亿元，近期正常成交额中枢约5.5—7.0亿元。公司并非低成交额小盘股，但截至2026年3月31日股东户数约5.86万户、前十大股东合计持股约37.84%，公开数据将筹码集中度标注为“非常分散”。中国建材集团为控股股东，持股约2.766亿股、比例约29.28%，报告期为2026年3月31日；深圳市创新投资集团旗下相关私募股权投资主体持股约3349万股、比例约3.55%，报告期为2025年9月30日。上述股东数据存在季度披露滞后，可能已不同于2026年9月11日的实时结构；公开检索不足以确认最新前十大流通股东中公募基金、社保基金、QFII的完整持仓情况。实践上，筹码分散与近期主力资金偏净流出意味着短期价格可能更多受到短线资金和题材情绪影响；若下跌同时换手率升至5%以上且成交额显著放大，需观察资金兑现或筹码重新分配风险。若未来一周单日成交额连续两日达到8.0—8.5亿元以上，同时收盘价站上17.8元，可作为资金参与度明显提升的可检查信号；若成交额放大但股价仍收在16.0元下方，则更偏向放量下行确认，而非积极介入信号。</w:t>
      </w:r>
    </w:p>
    <w:p>
      <w:pPr>
        <w:spacing w:after="160" w:line="300"/>
      </w:pPr>
      <w:r>
        <w:rPr>
          <w:sz w:val="22"/>
          <w:szCs w:val="22"/>
        </w:rPr>
        <w:t xml:space="preserve">量价确认观察信号：若未来一周单日成交额连续两日达到8.0—8.5亿元以上，且收盘价站上17.8元，可视为资金参与度明显提升；若放量后仍收于16.0元下方，则需警惕放量下行。</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观察16.0—16.3元第一支撑是否有效，若跌破则关注15.0—15.7元强支撑及其承接情况。</w:t>
      </w:r>
    </w:p>
    <w:p>
      <w:pPr>
        <w:pStyle w:val="ListParagraph"/>
        <w:numPr>
          <w:ilvl w:val="0"/>
          <w:numId w:val="2"/>
        </w:numPr>
        <w:spacing w:after="80" w:line="280"/>
      </w:pPr>
      <w:r>
        <w:rPr>
          <w:sz w:val="22"/>
          <w:szCs w:val="22"/>
        </w:rPr>
        <w:t xml:space="preserve">观察17.4—17.8元压力和20日均线密集区域能否被放量突破；未有效突破前，反弹仍偏向技术修复。</w:t>
      </w:r>
    </w:p>
    <w:p>
      <w:pPr>
        <w:pStyle w:val="ListParagraph"/>
        <w:numPr>
          <w:ilvl w:val="0"/>
          <w:numId w:val="2"/>
        </w:numPr>
        <w:spacing w:after="80" w:line="280"/>
      </w:pPr>
      <w:r>
        <w:rPr>
          <w:sz w:val="22"/>
          <w:szCs w:val="22"/>
        </w:rPr>
        <w:t xml:space="preserve">观察成交额能否连续两日达到8.0—8.5亿元以上，并结合收盘价位置判断量能属于突破确认还是放量下跌。</w:t>
      </w:r>
    </w:p>
    <w:p>
      <w:pPr>
        <w:pStyle w:val="ListParagraph"/>
        <w:numPr>
          <w:ilvl w:val="0"/>
          <w:numId w:val="2"/>
        </w:numPr>
        <w:spacing w:after="80" w:line="280"/>
      </w:pPr>
      <w:r>
        <w:rPr>
          <w:sz w:val="22"/>
          <w:szCs w:val="22"/>
        </w:rPr>
        <w:t xml:space="preserve">观察主力资金净流出是否改善，同时注意股东户数和前十大股东数据存在季度披露滞后，不宜将历史机构持仓直接等同于当前资金态度。以上均为观察思路，非操作指令。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涉及显示玻璃、超薄玻璃、ITO导电膜、盖板及显示模组，并布局电熔氧化锆、纳米氧化锆、高纯石英、电子封装球形粉体、纳米钛酸钡和稀土抛光材料等应用材料。显示玻璃基板及电子玻璃行业的核心壁垒包括玻璃配方、溢流下拉等成型工艺、超薄化技术、良率控制和面板厂认证；应用材料行业则从通用材料价格竞争逐步转向高纯度、功能化、客户认证和规模化供应竞争。</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全球显示玻璃基板市场长期由康宁、旭硝子、NEG等海外企业主导，国内市场正在推进国产替代，但高世代基板玻璃仍对技术、资金和客户认证有较高要求。</w:t>
      </w:r>
    </w:p>
    <w:p>
      <w:pPr>
        <w:pStyle w:val="ListParagraph"/>
        <w:numPr>
          <w:ilvl w:val="0"/>
          <w:numId w:val="2"/>
        </w:numPr>
        <w:spacing w:after="80" w:line="280"/>
      </w:pPr>
      <w:r>
        <w:rPr>
          <w:sz w:val="22"/>
          <w:szCs w:val="22"/>
        </w:rPr>
        <w:t xml:space="preserve">国内显示玻璃及相关材料企业大致包括三类：彩虹股份、东旭光电等高世代TFT-LCD玻璃基板企业；凯盛科技、长信科技等覆盖超薄玻璃、ITO、盖板和触控显示模组的综合型材料及模组企业；沃格光电等布局TGV玻璃基板、玻璃基先进封装和Micro-LED玻璃基产品的技术型企业。</w:t>
      </w:r>
    </w:p>
    <w:p>
      <w:pPr>
        <w:pStyle w:val="ListParagraph"/>
        <w:numPr>
          <w:ilvl w:val="0"/>
          <w:numId w:val="2"/>
        </w:numPr>
        <w:spacing w:after="80" w:line="280"/>
      </w:pPr>
      <w:r>
        <w:rPr>
          <w:sz w:val="22"/>
          <w:szCs w:val="22"/>
        </w:rPr>
        <w:t xml:space="preserve">凯盛科技的差异化不主要在传统大尺寸LCD基板规模，而在于“UTG+超薄玻璃+ITO+盖板+模组”的一体化能力，并向车载显示和柔性显示延伸。</w:t>
      </w:r>
    </w:p>
    <w:p>
      <w:pPr>
        <w:pStyle w:val="ListParagraph"/>
        <w:numPr>
          <w:ilvl w:val="0"/>
          <w:numId w:val="2"/>
        </w:numPr>
        <w:spacing w:after="80" w:line="280"/>
      </w:pPr>
      <w:r>
        <w:rPr>
          <w:sz w:val="22"/>
          <w:szCs w:val="22"/>
        </w:rPr>
        <w:t xml:space="preserve">应用材料板块涉及多个细分市场：电熔氧化锆和锆系材料偏向规模、工艺及客户认证竞争；高纯石英高端半导体级产品仍存在进口替代空间；球形硅微粉和球形氧化铝竞争重点包括纯度、球形度、粒径分布、导热性能和批量稳定性；纳米钛酸钡主要面向MLCC等电子元件；稀土抛光粉竞争集中在粒径、抛光效率、稳定性和客户导入。</w:t>
      </w:r>
    </w:p>
    <w:p>
      <w:pPr>
        <w:pStyle w:val="ListParagraph"/>
        <w:numPr>
          <w:ilvl w:val="0"/>
          <w:numId w:val="2"/>
        </w:numPr>
        <w:spacing w:after="80" w:line="280"/>
      </w:pPr>
      <w:r>
        <w:rPr>
          <w:sz w:val="22"/>
          <w:szCs w:val="22"/>
        </w:rPr>
        <w:t xml:space="preserve">公司披露电熔氧化锆产品已连续多年保持行业龙头地位，但公开资料中未找到可交叉核实的全国市场份额数据，应视为公司自述。</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彩虹股份（600707）</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大尺寸TFT-LCD基板玻璃及显示面板企业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拥有G5、G6、G7.5、G8.5+等多规格TFT-LCD基板玻璃产品，并经营大尺寸液晶面板；相较凯盛科技，更偏向高世代基板玻璃和面板规模及产业链协同。</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东旭光电（000413）</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历史上的高世代液晶玻璃基板、盖板玻璃及光电显示材料企业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可作为技术路线和历史竞争格局参考，但近年来存在流动性和经营状态等重大变化，不宜与正常经营状态下的凯盛科技直接进行财务对标。</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沃格光电（603773）</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光电玻璃精加工、显示模组、TGV玻璃基板及玻璃基先进封装企业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在TGV玻璃基先进封装方向更聚焦，凯盛科技则拥有更完整的UTG、显示玻璃和模组产业链。</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长信科技（300088）</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ITO导电玻璃、触控Sensor、车载盖板、触控显示模组及车载显示企业</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属于显示材料和中游模组环节的直接可比公司，在车载显示和触控显示模组规模方面具有较强竞争力；凯盛科技的差异化在于UTG、超薄玻璃原片及应用材料板块。</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国瓷材料（300285）</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纳米氧化锆、MLCC介质粉体、电子陶瓷材料和功能粉体企业</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不是凯盛科技显示材料业务的直接竞争者，但在应用材料板块具有较高可比性；国瓷材料更突出电子陶瓷粉体研发、MLCC客户认证和多品类平台化能力。</w:t>
            </w:r>
          </w:p>
        </w:tc>
      </w:tr>
    </w:tbl>
    <w:p>
      <w:pPr>
        <w:spacing w:before="200"/>
      </w:pPr>
    </w:p>
    <w:p>
      <w:pPr>
        <w:spacing w:after="160" w:line="300"/>
      </w:pPr>
      <w:r>
        <w:rPr>
          <w:sz w:val="22"/>
          <w:szCs w:val="22"/>
        </w:rPr>
        <w:t xml:space="preserve">凯盛科技与彩虹股份、东旭光电的差异主要在于其并非以高世代大尺寸LCD基板玻璃和面板规模为核心，而是覆盖UTG、超薄玻璃、ITO、盖板及显示模组；与长信科技相比，公司拥有UTG、超薄玻璃原片及锆硅钛应用材料等更综合的业务组合；与沃格光电相比，公司产业链覆盖更广，而沃格光电在TGV玻璃基先进封装方向更聚焦；与国瓷材料相比，凯盛科技应用材料品类更综合，但高纯石英、球形粉体、纳米氧化锆和纳米钛酸钡等业务能否由试生产和小批量订单转向稳定放量仍是竞争力验证的关键。</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盈利增长兑现风险：2025年营业收入同比增长20.15%，但归母净利润同比下降8.20%；2026年上半年虽实现盈利修复，归母净利率仍约为2.03%，机构对2026—2028年的利润预测能否兑现，取决于新产品和新产能的实际放量。</w:t>
      </w:r>
    </w:p>
    <w:p>
      <w:pPr>
        <w:pStyle w:val="ListParagraph"/>
        <w:numPr>
          <w:ilvl w:val="0"/>
          <w:numId w:val="2"/>
        </w:numPr>
        <w:spacing w:after="80" w:line="280"/>
      </w:pPr>
      <w:r>
        <w:rPr>
          <w:sz w:val="22"/>
          <w:szCs w:val="22"/>
        </w:rPr>
        <w:t xml:space="preserve">新项目商业化风险：TGV先进封装玻璃中试线计划投资约1.5亿元，项目仍面临实施周期、研发推进、客户验证和市场开拓不确定性，不能直接视为已形成规模收入或确定订单。</w:t>
      </w:r>
    </w:p>
    <w:p>
      <w:pPr>
        <w:pStyle w:val="ListParagraph"/>
        <w:numPr>
          <w:ilvl w:val="0"/>
          <w:numId w:val="2"/>
        </w:numPr>
        <w:spacing w:after="80" w:line="280"/>
      </w:pPr>
      <w:r>
        <w:rPr>
          <w:sz w:val="22"/>
          <w:szCs w:val="22"/>
        </w:rPr>
        <w:t xml:space="preserve">毛利率和客户议价风险：2025年显示材料收入增长31.40%，但显示材料毛利率仅为17.89%；面板、消费电子及模组客户采购规模较大、认证周期长且议价能力较强，产品价格下降或客户结构变化可能限制利润率提升。</w:t>
      </w:r>
    </w:p>
    <w:p>
      <w:pPr>
        <w:pStyle w:val="ListParagraph"/>
        <w:numPr>
          <w:ilvl w:val="0"/>
          <w:numId w:val="2"/>
        </w:numPr>
        <w:spacing w:after="80" w:line="280"/>
      </w:pPr>
      <w:r>
        <w:rPr>
          <w:sz w:val="22"/>
          <w:szCs w:val="22"/>
        </w:rPr>
        <w:t xml:space="preserve">现金流与杠杆风险：2026年上半年经营活动现金流净额1.66亿元，同比下降35.84%；截至2026年6月30日资产负债率约63.16%，若收入扩张继续占用营运资金，可能增加融资和偿债压力。</w:t>
      </w:r>
    </w:p>
    <w:p>
      <w:pPr>
        <w:pStyle w:val="ListParagraph"/>
        <w:numPr>
          <w:ilvl w:val="0"/>
          <w:numId w:val="2"/>
        </w:numPr>
        <w:spacing w:after="80" w:line="280"/>
      </w:pPr>
      <w:r>
        <w:rPr>
          <w:sz w:val="22"/>
          <w:szCs w:val="22"/>
        </w:rPr>
        <w:t xml:space="preserve">应收账款及营运资金风险：截至2025年末应收账款账面价值14.69亿元，约相当于当年营业收入的25.0%；公司总体需要先投入生产并向客户提供一定账期，若客户结算周期延长或回款不及预期，可能对现金流和资产质量造成压力。</w:t>
      </w:r>
    </w:p>
    <w:p>
      <w:pPr>
        <w:pStyle w:val="ListParagraph"/>
        <w:numPr>
          <w:ilvl w:val="0"/>
          <w:numId w:val="2"/>
        </w:numPr>
        <w:spacing w:after="80" w:line="280"/>
      </w:pPr>
      <w:r>
        <w:rPr>
          <w:sz w:val="22"/>
          <w:szCs w:val="22"/>
        </w:rPr>
        <w:t xml:space="preserve">上游成本与供应保障风险：公司采购锆系原料、硅质原料、钛化合物、稀土化合物、高纯石英原料、ITO靶材及能源动力等，部分基础材料价格受供需和大宗商品波动影响；年报未披露各类关键原料的具体成本占比和供应商名称，无法充分判断单一关键原料的实际供应集中度。</w:t>
      </w:r>
    </w:p>
    <w:p>
      <w:pPr>
        <w:pStyle w:val="ListParagraph"/>
        <w:numPr>
          <w:ilvl w:val="0"/>
          <w:numId w:val="2"/>
        </w:numPr>
        <w:spacing w:after="80" w:line="280"/>
      </w:pPr>
      <w:r>
        <w:rPr>
          <w:sz w:val="22"/>
          <w:szCs w:val="22"/>
        </w:rPr>
        <w:t xml:space="preserve">业务放量和盈利结构风险：深圳国显2026年上半年营业收入约20.29亿元但净利润亏损461.87万元，显示模组等规模业务可能存在利润率压力；公司能否通过UTG、车载显示及高附加值应用材料改善整体盈利，仍需观察。</w:t>
      </w:r>
    </w:p>
    <w:p>
      <w:pPr>
        <w:pStyle w:val="ListParagraph"/>
        <w:numPr>
          <w:ilvl w:val="0"/>
          <w:numId w:val="2"/>
        </w:numPr>
        <w:spacing w:after="80" w:line="280"/>
      </w:pPr>
      <w:r>
        <w:rPr>
          <w:sz w:val="22"/>
          <w:szCs w:val="22"/>
        </w:rPr>
        <w:t xml:space="preserve">估值与股价波动风险：截至2026年9月11日动态市盈率约110—126倍，股价较52周高点回撤约50.7%，且2026年7月曾出现连续涨跌幅异常波动；若业绩或题材预期变化，可能出现较大幅度估值压缩和价格波动。</w:t>
      </w:r>
    </w:p>
    <w:p>
      <w:pPr>
        <w:pStyle w:val="ListParagraph"/>
        <w:numPr>
          <w:ilvl w:val="0"/>
          <w:numId w:val="2"/>
        </w:numPr>
        <w:spacing w:after="80" w:line="280"/>
      </w:pPr>
      <w:r>
        <w:rPr>
          <w:sz w:val="22"/>
          <w:szCs w:val="22"/>
        </w:rPr>
        <w:t xml:space="preserve">技术面转弱风险：股价低于MA5、MA10、MA20及布林中轨，RSI6约33、RSI14约34—35，主力资金近期偏净流出；若16.0—16.3元区域失守，技术面可能进一步考验15.0—15.7元区域。</w:t>
      </w:r>
    </w:p>
    <w:p>
      <w:pPr>
        <w:pStyle w:val="ListParagraph"/>
        <w:numPr>
          <w:ilvl w:val="0"/>
          <w:numId w:val="2"/>
        </w:numPr>
        <w:spacing w:after="80" w:line="280"/>
      </w:pPr>
      <w:r>
        <w:rPr>
          <w:sz w:val="22"/>
          <w:szCs w:val="22"/>
        </w:rPr>
        <w:t xml:space="preserve">客户集中与信息披露边界风险：2025年前五大客户销售额占年度销售总额44.57%，但公司未披露具体客户名称及单个客户占比，无法识别具体面板、消费电子或汽车客户的单一依赖程度；若重要客户订单、认证或量产节奏变化，可能影响收入稳定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增长逻辑主要来自显示材料业务扩张、UTG和车载显示项目量产，以及应用材料向高纯石英、电子封装球形粉体、纳米氧化锆和纳米钛酸钡等高附加值方向升级。2026年上半年收入和扣非净利润同步增长，说明主业盈利改善已有一定体现；TGV先进封装玻璃中试线计划投资约1.5亿元，有助于推进工艺优化、产品试制和客户验证，但目前不能等同于已形成大规模收入或确定订单。</w:t>
      </w:r>
    </w:p>
    <w:p>
      <w:pPr>
        <w:spacing w:after="160" w:line="300"/>
      </w:pPr>
      <w:r>
        <w:rPr>
          <w:sz w:val="22"/>
          <w:szCs w:val="22"/>
        </w:rPr>
        <w:t xml:space="preserve">后续业绩弹性取决于新产能和新产品从验证、小批量供应转向稳定量产的速度，以及良率、折旧、研发投入和客户议价对毛利率的影响。公司2025年显示材料收入增长31.40%，但显示材料毛利率仅提升至17.89%，同期净利润仍下降，说明规模扩张与盈利质量改善尚未完全同步。</w:t>
      </w:r>
    </w:p>
    <w:p>
      <w:pPr>
        <w:spacing w:after="160" w:line="300"/>
      </w:pPr>
      <w:r>
        <w:rPr>
          <w:sz w:val="22"/>
          <w:szCs w:val="22"/>
        </w:rPr>
        <w:t xml:space="preserve">估值和市场表现对增长兑现较为敏感。当前静态及滚动市盈率处于较高区间，股价经历快速冲高和回撤后仍位于中短期均线下方；若未来利润增长不及预期，或新项目放量、毛利率改善低于预期，估值消化压力可能加大。反之，若显示材料、高附加值应用材料和TGV相关业务实现持续放量，并带动现金流和净利率同步改善，公司的产业链一体化和产品结构升级逻辑才可能得到进一步验证。</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凯盛科技(600552)_公司公告_凯盛科技：2025年年度报告新浪财经_新浪网 — https://vip.stock.finance.sina.com.cn/corp/view/vCB_AllBulletinDetail.php?id=12045399&amp;stockid=600552</w:t>
      </w:r>
    </w:p>
    <w:p>
      <w:pPr>
        <w:spacing w:after="200"/>
      </w:pPr>
      <w:r>
        <w:rPr>
          <w:i/>
          <w:iCs/>
          <w:color w:val="595959"/>
          <w:sz w:val="18"/>
          <w:szCs w:val="18"/>
        </w:rPr>
        <w:t xml:space="preserve">凯盛科技股份有限公司2025年年度报告 — https://static.cninfo.com.cn/finalpage/2026-03-31/1225061795.PDF</w:t>
      </w:r>
    </w:p>
    <w:p>
      <w:pPr>
        <w:spacing w:after="200"/>
      </w:pPr>
      <w:r>
        <w:rPr>
          <w:i/>
          <w:iCs/>
          <w:color w:val="595959"/>
          <w:sz w:val="18"/>
          <w:szCs w:val="18"/>
        </w:rPr>
        <w:t xml:space="preserve">https://static.sse.com.cn/disclosure/bond/announcement/company/c/new/2024-07-10/241218_20240710_46NG.pdf — https://static.sse.com.cn/disclosure/bond/announcement/company/c/new/2024-07-10/241218_20240710_46NG.pdf</w:t>
      </w:r>
    </w:p>
    <w:p>
      <w:pPr>
        <w:spacing w:after="200"/>
      </w:pPr>
      <w:r>
        <w:rPr>
          <w:i/>
          <w:iCs/>
          <w:color w:val="595959"/>
          <w:sz w:val="18"/>
          <w:szCs w:val="18"/>
        </w:rPr>
        <w:t xml:space="preserve">研判2026！中国液晶玻璃基板行业世代线、产业链、市场规模分析：国产替代攻坚提速，G8.5+高世代产线建设驱动行业持续扩容[图]_智研咨询 — https://www.chyxx.com/industry/1277541.html?utm_source=openai</w:t>
      </w:r>
    </w:p>
    <w:p>
      <w:pPr>
        <w:spacing w:after="200"/>
      </w:pPr>
      <w:r>
        <w:rPr>
          <w:i/>
          <w:iCs/>
          <w:color w:val="595959"/>
          <w:sz w:val="18"/>
          <w:szCs w:val="18"/>
        </w:rPr>
        <w:t xml:space="preserve">彩虹股份(600707)_公司公告_彩虹股份：2025年年度报告摘要新浪财经_新浪网 — https://money.finance.sina.com.cn/corp/view/vCB_AllBulletinDetail.php?id=12093727&amp;stockid=600707&amp;utm_source=openai</w:t>
      </w:r>
    </w:p>
    <w:p>
      <w:pPr>
        <w:spacing w:after="200"/>
      </w:pPr>
      <w:r>
        <w:rPr>
          <w:i/>
          <w:iCs/>
          <w:color w:val="595959"/>
          <w:sz w:val="18"/>
          <w:szCs w:val="18"/>
        </w:rPr>
        <w:t xml:space="preserve">关于东旭 - 东旭集团官网 — https://www.dong-xu.com/html/about/?utm_source=openai</w:t>
      </w:r>
    </w:p>
    <w:p>
      <w:pPr>
        <w:spacing w:after="200"/>
      </w:pPr>
      <w:r>
        <w:rPr>
          <w:i/>
          <w:iCs/>
          <w:color w:val="595959"/>
          <w:sz w:val="18"/>
          <w:szCs w:val="18"/>
        </w:rPr>
        <w:t xml:space="preserve">沃格光电(603773)_公司公告_沃格光电：2025年年度报告新浪财经_新浪网 — https://money.finance.sina.com.cn/corp/view/vCB_AllBulletinDetail.php?id=12151870&amp;stockid=603773&amp;utm_source=openai</w:t>
      </w:r>
    </w:p>
    <w:p>
      <w:pPr>
        <w:spacing w:after="200"/>
      </w:pPr>
      <w:r>
        <w:rPr>
          <w:i/>
          <w:iCs/>
          <w:color w:val="595959"/>
          <w:sz w:val="18"/>
          <w:szCs w:val="18"/>
        </w:rPr>
        <w:t xml:space="preserve">长信科技(300088)_公司公告_长信科技：2025年年度报告摘要新浪财经_新浪网 — https://money.finance.sina.com.cn/corp/view/vCB_AllBulletinDetail.php?id=12205014&amp;stockid=300088&amp;utm_source=openai</w:t>
      </w:r>
    </w:p>
    <w:p>
      <w:pPr>
        <w:spacing w:after="200"/>
      </w:pPr>
      <w:r>
        <w:rPr>
          <w:i/>
          <w:iCs/>
          <w:color w:val="595959"/>
          <w:sz w:val="18"/>
          <w:szCs w:val="18"/>
        </w:rPr>
        <w:t xml:space="preserve">国瓷材料(300285)_公司公告_国瓷材料：2025年年度报告新浪财经_新浪网 — https://money.finance.sina.com.cn/corp/view/vCB_AllBulletinDetail.php?id=12120185&amp;stockid=300285&amp;utm_source=openai</w:t>
      </w:r>
    </w:p>
    <w:p>
      <w:pPr>
        <w:spacing w:after="200"/>
      </w:pPr>
      <w:r>
        <w:rPr>
          <w:i/>
          <w:iCs/>
          <w:color w:val="595959"/>
          <w:sz w:val="18"/>
          <w:szCs w:val="18"/>
        </w:rPr>
        <w:t xml:space="preserve">凯盛科技股份有限公司2026年半年度报告摘要 — https://static.cninfo.com.cn/finalpage/2026-08-26/1225506674.PDF?utm_source=openai</w:t>
      </w:r>
    </w:p>
    <w:p>
      <w:pPr>
        <w:spacing w:after="200"/>
      </w:pPr>
      <w:r>
        <w:rPr>
          <w:i/>
          <w:iCs/>
          <w:color w:val="595959"/>
          <w:sz w:val="18"/>
          <w:szCs w:val="18"/>
        </w:rPr>
        <w:t xml:space="preserve">凯盛科技(600552)_公司公告_凯盛科技：2026年半年度报告摘要新浪财经_新浪网 — https://money.finance.sina.com.cn/corp/view/vCB_AllBulletinDetail.php?id=12539272&amp;stockid=600552&amp;utm_source=openai</w:t>
      </w:r>
    </w:p>
    <w:p>
      <w:pPr>
        <w:spacing w:after="200"/>
      </w:pPr>
      <w:r>
        <w:rPr>
          <w:i/>
          <w:iCs/>
          <w:color w:val="595959"/>
          <w:sz w:val="18"/>
          <w:szCs w:val="18"/>
        </w:rPr>
        <w:t xml:space="preserve">凯盛科技(600552) 盈利预测_F10_同花顺金融服务网 — https://basic.10jqka.com.cn/600552/worth.html</w:t>
      </w:r>
    </w:p>
    <w:p>
      <w:pPr>
        <w:spacing w:after="200"/>
      </w:pPr>
      <w:r>
        <w:rPr>
          <w:i/>
          <w:iCs/>
          <w:color w:val="595959"/>
          <w:sz w:val="18"/>
          <w:szCs w:val="18"/>
        </w:rPr>
        <w:t xml:space="preserve">凯盛科技：2025年净利润1.29亿元 拟10派0.5元 _ 东方财富网 — https://finance.eastmoney.com/a/202603313690124346.html?utm_source=openai</w:t>
      </w:r>
    </w:p>
    <w:p>
      <w:pPr>
        <w:spacing w:after="200"/>
      </w:pPr>
      <w:r>
        <w:rPr>
          <w:i/>
          <w:iCs/>
          <w:color w:val="595959"/>
          <w:sz w:val="18"/>
          <w:szCs w:val="18"/>
        </w:rPr>
        <w:t xml:space="preserve">凯盛科技(600552) 盈利预测_F10_同花顺金融服务网 — https://basic.10jqka.com.cn/144/600552/worth.html</w:t>
      </w:r>
    </w:p>
    <w:p>
      <w:pPr>
        <w:spacing w:after="200"/>
      </w:pPr>
      <w:r>
        <w:rPr>
          <w:i/>
          <w:iCs/>
          <w:color w:val="595959"/>
          <w:sz w:val="18"/>
          <w:szCs w:val="18"/>
        </w:rPr>
        <w:t xml:space="preserve">机构评级|中邮证券给予凯盛科技“买入”评级 未给出目标价 — https://stock.10jqka.com.cn/20260805/c678681306.shtml</w:t>
      </w:r>
    </w:p>
    <w:p>
      <w:pPr>
        <w:spacing w:after="200"/>
      </w:pPr>
      <w:r>
        <w:rPr>
          <w:i/>
          <w:iCs/>
          <w:color w:val="595959"/>
          <w:sz w:val="18"/>
          <w:szCs w:val="18"/>
        </w:rPr>
        <w:t xml:space="preserve">机构投资评级-股票-新浪财经 — https://stock.finance.sina.com.cn/stock/go.php/vIR_StockSearch/key/600552.phtml?utm_source=openai</w:t>
      </w:r>
    </w:p>
    <w:p>
      <w:pPr>
        <w:spacing w:after="200"/>
      </w:pPr>
      <w:r>
        <w:rPr>
          <w:i/>
          <w:iCs/>
          <w:color w:val="595959"/>
          <w:sz w:val="18"/>
          <w:szCs w:val="18"/>
        </w:rPr>
        <w:t xml:space="preserve">凯盛科技(600552)股票历史数据:历史行情,价格,走势图表_英为财情Investing.com — https://cn.investing.com/equities/fangxing-sci-historical-data?utm_source=openai</w:t>
      </w:r>
    </w:p>
    <w:p>
      <w:pPr>
        <w:spacing w:after="200"/>
      </w:pPr>
      <w:r>
        <w:rPr>
          <w:i/>
          <w:iCs/>
          <w:color w:val="595959"/>
          <w:sz w:val="18"/>
          <w:szCs w:val="18"/>
        </w:rPr>
        <w:t xml:space="preserve">凯盛科技(600552)市盈率|估值|基本面 - 理杏仁 — https://www.lixinger.com/equity/company/detail/sh/600552/600552/fundamental/valuation/pe-ttm</w:t>
      </w:r>
    </w:p>
    <w:p>
      <w:pPr>
        <w:spacing w:after="200"/>
      </w:pPr>
      <w:r>
        <w:rPr>
          <w:i/>
          <w:iCs/>
          <w:color w:val="595959"/>
          <w:sz w:val="18"/>
          <w:szCs w:val="18"/>
        </w:rPr>
        <w:t xml:space="preserve">凯盛科技(600552)_股票行情，行情首页_中财网 — https://quoteimg.cfi.cn/quote1265_600552.html?utm_source=openai</w:t>
      </w:r>
    </w:p>
    <w:p>
      <w:pPr>
        <w:spacing w:after="200"/>
      </w:pPr>
      <w:r>
        <w:rPr>
          <w:i/>
          <w:iCs/>
          <w:color w:val="595959"/>
          <w:sz w:val="18"/>
          <w:szCs w:val="18"/>
        </w:rPr>
        <w:t xml:space="preserve">凯盛科技(600552)_公司公告_凯盛科技：2026年半年度报告新浪财经_新浪网 — https://vip.stock.finance.sina.com.cn/corp/view/vCB_AllBulletinDetail.php?id=12539273&amp;stockid=600552</w:t>
      </w:r>
    </w:p>
    <w:p>
      <w:pPr>
        <w:spacing w:after="200"/>
      </w:pPr>
      <w:r>
        <w:rPr>
          <w:i/>
          <w:iCs/>
          <w:color w:val="595959"/>
          <w:sz w:val="18"/>
          <w:szCs w:val="18"/>
        </w:rPr>
        <w:t xml:space="preserve">凯盛科技(600552)_公司公告_凯盛科技：关于参加2026年安徽上市公司投资者网上集体接待日活动的公告新浪财经_新浪网 — https://money.finance.sina.com.cn/corp/view/vCB_AllBulletinDetail.php?id=12591491&amp;stockid=600552</w:t>
      </w:r>
    </w:p>
    <w:p>
      <w:pPr>
        <w:spacing w:after="200"/>
      </w:pPr>
      <w:r>
        <w:rPr>
          <w:i/>
          <w:iCs/>
          <w:color w:val="595959"/>
          <w:sz w:val="18"/>
          <w:szCs w:val="18"/>
        </w:rPr>
        <w:t xml:space="preserve">凯盛科技(600552)_公司公告_凯盛科技：关于召开2026年第一次临时股东会的通知新浪财经_新浪网 — https://vip.stock.finance.sina.com.cn/corp/view/vCB_AllBulletinDetail.php?id=12539283&amp;stockid=600552</w:t>
      </w:r>
    </w:p>
    <w:p>
      <w:pPr>
        <w:spacing w:after="200"/>
      </w:pPr>
      <w:r>
        <w:rPr>
          <w:i/>
          <w:iCs/>
          <w:color w:val="595959"/>
          <w:sz w:val="18"/>
          <w:szCs w:val="18"/>
        </w:rPr>
        <w:t xml:space="preserve">凯盛科技(600552)公告(全部) - 理杏仁 — https://www.lixinger.com/equity/company/detail/sh/600552/600552/announcement?utm_source=openai</w:t>
      </w:r>
    </w:p>
    <w:p>
      <w:pPr>
        <w:spacing w:after="200"/>
      </w:pPr>
      <w:r>
        <w:rPr>
          <w:i/>
          <w:iCs/>
          <w:color w:val="595959"/>
          <w:sz w:val="18"/>
          <w:szCs w:val="18"/>
        </w:rPr>
        <w:t xml:space="preserve">凯盛科技(600552)_公司公告_凯盛科技：第九届董事会第九次会议决议公告新浪财经_新浪网 — https://money.finance.sina.com.cn/corp/view/vCB_AllBulletinDetail.php?id=12463160&amp;stockid=600552&amp;utm_source=openai</w:t>
      </w:r>
    </w:p>
    <w:p>
      <w:pPr>
        <w:spacing w:after="200"/>
      </w:pPr>
      <w:r>
        <w:rPr>
          <w:i/>
          <w:iCs/>
          <w:color w:val="595959"/>
          <w:sz w:val="18"/>
          <w:szCs w:val="18"/>
        </w:rPr>
        <w:t xml:space="preserve">凯盛科技(600552) 最新动态_F10_同花顺金融服务网 — https://basic.10jqka.com.cn/600552/?utm_source=openai</w:t>
      </w:r>
    </w:p>
    <w:p>
      <w:pPr>
        <w:spacing w:after="200"/>
      </w:pPr>
      <w:r>
        <w:rPr>
          <w:i/>
          <w:iCs/>
          <w:color w:val="595959"/>
          <w:sz w:val="18"/>
          <w:szCs w:val="18"/>
        </w:rPr>
        <w:t xml:space="preserve">凯盛科技(600552)_公司公告_凯盛科技：关于独立董事任期届满离任暨补选独立董事的公告新浪财经_新浪网 — https://money.finance.sina.com.cn/corp/view/vCB_AllBulletinDetail.php?id=12539279&amp;stockid=600552</w:t>
      </w:r>
    </w:p>
    <w:p>
      <w:pPr>
        <w:spacing w:after="200"/>
      </w:pPr>
      <w:r>
        <w:rPr>
          <w:i/>
          <w:iCs/>
          <w:color w:val="595959"/>
          <w:sz w:val="18"/>
          <w:szCs w:val="18"/>
        </w:rPr>
        <w:t xml:space="preserve">凯盛科技(600552) 股东研究_F10_同花顺金融服务网 — https://basic.10jqka.com.cn/600552/holder.html?utm_source=openai</w:t>
      </w:r>
    </w:p>
    <w:p>
      <w:pPr>
        <w:spacing w:after="200"/>
      </w:pPr>
      <w:r>
        <w:rPr>
          <w:i/>
          <w:iCs/>
          <w:color w:val="595959"/>
          <w:sz w:val="18"/>
          <w:szCs w:val="18"/>
        </w:rPr>
        <w:t xml:space="preserve">证券时报电子报实时通过手机APP、网站免费阅读重大财经新闻资讯及上市公司公告 — https://epaper.stcn.com/con/202607/01/content_2944911.html?utm_source=openai</w:t>
      </w:r>
    </w:p>
    <w:p>
      <w:pPr>
        <w:spacing w:after="200"/>
      </w:pPr>
      <w:r>
        <w:rPr>
          <w:i/>
          <w:iCs/>
          <w:color w:val="595959"/>
          <w:sz w:val="18"/>
          <w:szCs w:val="18"/>
        </w:rPr>
        <w:t xml:space="preserve">凯盛科技(600552)_公司公告_凯盛科技：第九届董事会第十次会议决议公告新浪财经_新浪网 — https://money.finance.sina.com.cn/corp/view/vCB_AllBulletinDetail.php?id=12539276&amp;stockid=600552</w:t>
      </w:r>
    </w:p>
    <w:p>
      <w:pPr>
        <w:spacing w:after="200"/>
      </w:pPr>
      <w:r>
        <w:rPr>
          <w:i/>
          <w:iCs/>
          <w:color w:val="595959"/>
          <w:sz w:val="18"/>
          <w:szCs w:val="18"/>
        </w:rPr>
        <w:t xml:space="preserve">凯盛科技(600552)股票最新价格行情,实时走势图,股价分析预测_英为财情Investing.com — https://cn.investing.com/equities/fangxing-sci</w:t>
      </w:r>
    </w:p>
    <w:p>
      <w:pPr>
        <w:spacing w:after="200"/>
      </w:pPr>
      <w:r>
        <w:rPr>
          <w:i/>
          <w:iCs/>
          <w:color w:val="595959"/>
          <w:sz w:val="18"/>
          <w:szCs w:val="18"/>
        </w:rPr>
        <w:t xml:space="preserve">凯盛科技(600552)股票历史数据:历史行情,价格,走势图表_英为财情Investing.com — https://cn.investing.com/equities/fangxing-sci-historical-data</w:t>
      </w:r>
    </w:p>
    <w:p>
      <w:pPr>
        <w:spacing w:after="200"/>
      </w:pPr>
      <w:r>
        <w:rPr>
          <w:i/>
          <w:iCs/>
          <w:color w:val="595959"/>
          <w:sz w:val="18"/>
          <w:szCs w:val="18"/>
        </w:rPr>
        <w:t xml:space="preserve">600552股票价格和图表 - SSE:600552 — TradingView — https://cn.tradingview.com/symbols/SSE-600552/?utm_source=openai</w:t>
      </w:r>
    </w:p>
    <w:p>
      <w:pPr>
        <w:spacing w:after="200"/>
      </w:pPr>
      <w:r>
        <w:rPr>
          <w:i/>
          <w:iCs/>
          <w:color w:val="595959"/>
          <w:sz w:val="18"/>
          <w:szCs w:val="18"/>
        </w:rPr>
        <w:t xml:space="preserve">凯盛科技 (600552) - 历史交易数据 | 打板客网 — https://dabanke.com/hangqing-600552.html</w:t>
      </w:r>
    </w:p>
    <w:p>
      <w:pPr>
        <w:spacing w:after="200"/>
      </w:pPr>
      <w:r>
        <w:rPr>
          <w:i/>
          <w:iCs/>
          <w:color w:val="595959"/>
          <w:sz w:val="18"/>
          <w:szCs w:val="18"/>
        </w:rPr>
        <w:t xml:space="preserve">600552 Technical Analysis, RSI and Moving Averages - Investing.com — https://www.investing.com/equities/fangxing-sci-technical</w:t>
      </w:r>
    </w:p>
    <w:p>
      <w:pPr>
        <w:spacing w:after="200"/>
      </w:pPr>
      <w:r>
        <w:rPr>
          <w:i/>
          <w:iCs/>
          <w:color w:val="595959"/>
          <w:sz w:val="18"/>
          <w:szCs w:val="18"/>
        </w:rPr>
        <w:t xml:space="preserve">凯盛科技(600552)_股票行情_证券之星 — https://stock.quote.stockstar.com/600552.shtml?utm_source=openai</w:t>
      </w:r>
    </w:p>
    <w:p>
      <w:pPr>
        <w:spacing w:after="200"/>
      </w:pPr>
      <w:r>
        <w:rPr>
          <w:i/>
          <w:iCs/>
          <w:color w:val="595959"/>
          <w:sz w:val="18"/>
          <w:szCs w:val="18"/>
        </w:rPr>
        <w:t xml:space="preserve">凯盛科技(600552.SH)股东研究-PC_HSF10资料 — https://emweb.eastmoney.com/PC_HSF10/ShareholderResearch/index?code=SH600552&amp;color=b&amp;type=soft&amp;utm_source=openai</w:t>
      </w:r>
    </w:p>
    <w:p>
      <w:pPr>
        <w:spacing w:after="200"/>
      </w:pPr>
      <w:r>
        <w:rPr>
          <w:i/>
          <w:iCs/>
          <w:color w:val="595959"/>
          <w:sz w:val="18"/>
          <w:szCs w:val="18"/>
        </w:rPr>
        <w:t xml:space="preserve">本报告由AI基于公开渠道信息自动检索、整理并生成，信息截至 截至2026年9月11日收盘；不同行情数据库存在轻微差异，收盘价采用16.60—16.61元区间，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2026-09-13T11:35:40.341Z</dcterms:created>
  <dcterms:modified xsi:type="dcterms:W3CDTF">2026-09-13T11:35:40.341Z</dcterms:modified>
</cp:coreProperties>
</file>

<file path=docProps/custom.xml><?xml version="1.0" encoding="utf-8"?>
<Properties xmlns="http://schemas.openxmlformats.org/officeDocument/2006/custom-properties" xmlns:vt="http://schemas.openxmlformats.org/officeDocument/2006/docPropsVTypes"/>
</file>