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600"/>
        <w:jc w:val="center"/>
      </w:pPr>
      <w:r>
        <w:rPr>
          <w:b/>
          <w:bCs/>
          <w:color w:val="1F4E79"/>
          <w:sz w:val="44"/>
          <w:szCs w:val="44"/>
        </w:rPr>
        <w:t xml:space="preserve">哈药集团股份有限公司 (600664)</w:t>
      </w:r>
    </w:p>
    <w:p>
      <w:pPr>
        <w:spacing w:after="200" w:before="200"/>
        <w:jc w:val="center"/>
      </w:pPr>
      <w:r>
        <w:rPr>
          <w:b/>
          <w:bCs/>
          <w:color w:val="2E74B5"/>
          <w:sz w:val="34"/>
          <w:szCs w:val="34"/>
        </w:rPr>
        <w:t xml:space="preserve">个股分析报告</w:t>
      </w:r>
    </w:p>
    <w:p>
      <w:pPr>
        <w:spacing w:before="600"/>
        <w:jc w:val="center"/>
      </w:pPr>
      <w:r>
        <w:rPr>
          <w:color w:val="595959"/>
          <w:sz w:val="22"/>
          <w:szCs w:val="22"/>
        </w:rPr>
        <w:t xml:space="preserve">行业：医药制造与流通</w:t>
      </w:r>
    </w:p>
    <w:p>
      <w:pPr>
        <w:jc w:val="center"/>
      </w:pPr>
      <w:r>
        <w:rPr>
          <w:color w:val="595959"/>
          <w:sz w:val="22"/>
          <w:szCs w:val="22"/>
        </w:rPr>
        <w:t xml:space="preserve">报告日期：2026年10月1日</w:t>
      </w:r>
    </w:p>
    <w:p>
      <w:pPr>
        <w:jc w:val="center"/>
      </w:pPr>
      <w:r>
        <w:rPr>
          <w:color w:val="595959"/>
          <w:sz w:val="20"/>
          <w:szCs w:val="20"/>
        </w:rPr>
        <w:t xml:space="preserve">行情及技术指标截至2026年9月30日收盘</w:t>
      </w:r>
    </w:p>
    <w:p>
      <w:pPr>
        <w:spacing w:before="800"/>
        <w:jc w:val="center"/>
      </w:pPr>
      <w:r>
        <w:rPr>
          <w:i/>
          <w:iCs/>
          <w:color w:val="595959"/>
          <w:sz w:val="18"/>
          <w:szCs w:val="18"/>
        </w:rPr>
        <w:t xml:space="preserve">本报告基于公开信息由AI自动整理生成，仅供参考，不构成投资建议</w:t>
      </w:r>
    </w:p>
    <w:p>
      <w:r>
        <w:br w:type="page"/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核心结论：利润修复已现，但现金流与工业端承压，估值要求高增长兑现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700"/>
      </w:tblGrid>
      <w:tr>
        <w:trPr>
          <w:tblHeader/>
        </w:trPr>
        <w:tc>
          <w:tcPr>
            <w:tcW w:type="dxa" w:w="3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关键数据</w:t>
            </w:r>
          </w:p>
        </w:tc>
        <w:tc>
          <w:tcPr>
            <w:tcW w:type="dxa" w:w="6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收盘价（当日涨跌幅）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7.4元（+3.64%）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总市值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约186.37亿元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PE(TTM)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36.39倍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PB(MRQ)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3.05倍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52周区间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2.84～9.86元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成交额/换手率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约39.10亿元/20.61%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行情数据截至：行情及技术指标截至2026年9月30日收盘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一、投资要点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利润修复快于收入，但质量待验</w:t>
      </w:r>
      <w:r>
        <w:rPr>
          <w:sz w:val="22"/>
          <w:szCs w:val="22"/>
        </w:rPr>
        <w:t xml:space="preserve">：2026H1营收增长2.10%，归母净利增长57.99%、扣非增长45.39%；毛利率同比降约0.67个百分点，经营现金流为负。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零售增长尚难抵消工业收缩</w:t>
      </w:r>
      <w:r>
        <w:rPr>
          <w:sz w:val="22"/>
          <w:szCs w:val="22"/>
        </w:rPr>
        <w:t xml:space="preserve">：2025年医药工业收入下降8.52%，商业收入增长3.32%；商业零售增长21.04%，是现阶段主要支撑。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估值处历史高位且要求增长兑现</w:t>
      </w:r>
      <w:r>
        <w:rPr>
          <w:sz w:val="22"/>
          <w:szCs w:val="22"/>
        </w:rPr>
        <w:t xml:space="preserve">：9月30日收盘7.40元，PE-TTM 36.39倍、PB 3.05倍；PE处87%分位，PB处98%分位。单家机构目标价9.16元。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市场预期与证据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市场在定价</w:t>
      </w:r>
      <w:r>
        <w:rPr>
          <w:sz w:val="22"/>
          <w:szCs w:val="22"/>
        </w:rPr>
        <w:t xml:space="preserve">：36.39倍PE隐含未来10年EPS年增约18%，高于单家机构2026—28年EPS约15.5%的年复合预测；两者期限并不完全可比。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证据显示</w:t>
      </w:r>
      <w:r>
        <w:rPr>
          <w:sz w:val="22"/>
          <w:szCs w:val="22"/>
        </w:rPr>
        <w:t xml:space="preserve">：H1归母、扣非分别增长57.99%、45.39%，但收入仅增2.10%、毛利率下滑且经营现金流为负。利润修复已出现，持续性和现金兑现仍待验证。</w:t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证据倾向：偏空；置信度：中</w:t>
      </w:r>
    </w:p>
    <w:p>
      <w:pPr>
        <w:spacing w:after="160" w:line="300"/>
      </w:pPr>
      <w:r>
        <w:rPr>
          <w:sz w:val="22"/>
          <w:szCs w:val="22"/>
        </w:rPr>
        <w:t xml:space="preserve">H1利润反弹明确，但收入、毛利率和现金流未同步改善；估值偏高，且预测仅来自一家机构。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二、生意与竞争力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2.1 业务结构</w:t>
      </w:r>
    </w:p>
    <w:p>
      <w:pPr>
        <w:spacing w:after="160" w:line="300"/>
      </w:pPr>
      <w:r>
        <w:rPr>
          <w:sz w:val="22"/>
          <w:szCs w:val="22"/>
        </w:rPr>
        <w:t xml:space="preserve">生产销售化学药、中药、生物制剂及保健品，并通过人民同泰开展医药批发、零售和物流业务。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1400"/>
        <w:gridCol w:w="1300"/>
        <w:gridCol w:w="1400"/>
        <w:gridCol w:w="3800"/>
      </w:tblGrid>
      <w:tr>
        <w:trPr>
          <w:tblHeader/>
        </w:trPr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业务板块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收入占比</w:t>
            </w:r>
          </w:p>
        </w:tc>
        <w:tc>
          <w:tcPr>
            <w:tcW w:type="dxa" w:w="13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收入增速</w:t>
            </w:r>
          </w:p>
        </w:tc>
        <w:tc>
          <w:tcPr>
            <w:tcW w:type="dxa" w:w="3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要点</w:t>
            </w:r>
          </w:p>
        </w:tc>
      </w:tr>
      <w:tr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医药商业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约64.8%（2025年，按合并营业收入估算）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7.91%（2025年）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3.32%（2025年收入同比）</w:t>
            </w:r>
          </w:p>
        </w:tc>
        <w:tc>
          <w:tcPr>
            <w:tcW w:type="dxa" w:w="3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零售收入同比增长21.04%，DTP及处方外流业务提供增长支撑；集采压缩价差。</w:t>
            </w:r>
          </w:p>
        </w:tc>
      </w:tr>
      <w:tr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医药工业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约36.0%（2025年，按合并营业收入估算）</w:t>
            </w:r>
          </w:p>
        </w:tc>
        <w:tc>
          <w:tcPr>
            <w:tcW w:type="dxa" w:w="1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57.24%（2025年）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-8.52%（2025年收入同比）</w:t>
            </w:r>
          </w:p>
        </w:tc>
        <w:tc>
          <w:tcPr>
            <w:tcW w:type="dxa" w:w="3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保健品、化学制剂和中药收入均下滑，生物制剂收入增长4.83%。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2.2 竞争优势</w:t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竞争优势强度：弱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产品覆盖化学药、中药、生物制品和保健品；2025年生物制剂毛利率72.72%，但收入仅2.93亿元。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人民同泰经营黑龙江省医药批发、零售及物流；2025年医药商业收入103.39亿元，零售收入增长21.04%。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2025年研发投入2.04亿元、研发人员1,058人，证明具备研发组织与投入，尚不足以证明商业化壁垒。</w:t>
      </w:r>
    </w:p>
    <w:p>
      <w:pPr>
        <w:spacing w:after="160" w:line="300"/>
      </w:pPr>
      <w:r>
        <w:rPr>
          <w:sz w:val="22"/>
          <w:szCs w:val="22"/>
        </w:rPr>
        <w:t xml:space="preserve">主要威胁：集采、医保控费和竞争压价影响工业端；商业流通毛利薄，保健品渠道转型与需求放缓也可能压低盈利。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2.3 产业链位置与盈利趋势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采购化学原料药、中药材、辅料和包装材料，采用招标、集中采购、战略采购及商城平台采购。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2025年前五大供应商占年度采购总额16.96%、第一名占4.43%；为集团采购口径，不等同工业原料供应商集中度。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客户包括医疗机构、医药商业客户、零售消费者及电商/保健品渠道；医疗机构及流通环节受集采、医保控费和中标价格约束。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商业端价差较薄：2025年批发医疗客户毛利率6.87%，批发商业客户毛利率3.50%。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2025年年报披露前五大客户占销售总额14.23%、第一名占3.88%；集团口径，前五客户名称未披露，不能代表单一板块集中度。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2025年末应收账款43.87亿元，为全年收入约27.5%、归母净利润约12.1倍；估算周转约100天。预付款1.90亿元、存货20.61亿元；合并口径不代表单一板块回款。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800"/>
        <w:gridCol w:w="1800"/>
        <w:gridCol w:w="48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年度</w:t>
            </w:r>
          </w:p>
        </w:tc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净利率</w:t>
            </w:r>
          </w:p>
        </w:tc>
        <w:tc>
          <w:tcPr>
            <w:tcW w:type="dxa" w:w="4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变动原因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2022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24.67%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3.37%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处于本表毛利率低位；现有披露未提供可核实的分年驱动拆分。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2023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26.21%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3.30%</w:t>
            </w:r>
          </w:p>
        </w:tc>
        <w:tc>
          <w:tcPr>
            <w:tcW w:type="dxa" w:w="4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主营收入增长、毛利率恢复；工业端保健品及部分药品增长，但结构分化。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2024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28.24%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3.89%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毛利率较上年提高；现有资料未提供足以归因于具体上下游因素的拆分。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25.98%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2.26%</w:t>
            </w:r>
          </w:p>
        </w:tc>
        <w:tc>
          <w:tcPr>
            <w:tcW w:type="dxa" w:w="4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工业与商业毛利率均下滑，集采、医保控费及竞争压价下盈利承压。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公司处于中游制造与区域分销结合的位置：工业端毛利较高但收入下滑，商业端规模大而毛利薄。改善依赖高毛利产品恢复与结构优化、成本控制，以及零售/DTP占比和运营效率提升。2022—2023年历史利润率存在来源口径差异，净利率按归母净利润/营业收入计算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2.4 行业与同行对比</w:t>
      </w:r>
    </w:p>
    <w:p>
      <w:pPr>
        <w:spacing w:after="160" w:line="300"/>
      </w:pPr>
      <w:r>
        <w:rPr>
          <w:sz w:val="22"/>
          <w:szCs w:val="22"/>
        </w:rPr>
        <w:t xml:space="preserve">公司处于医药制造与流通并行的成熟业务阶段。2025年集采、医保控费及保健品渠道转型压制工业端收入和毛利，零售/DTP增长是商业板块的重要支撑。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300"/>
        <w:gridCol w:w="2600"/>
        <w:gridCol w:w="2900"/>
      </w:tblGrid>
      <w:tr>
        <w:trPr>
          <w:tblHeader/>
        </w:trPr>
        <w:tc>
          <w:tcPr>
            <w:tcW w:type="dxa" w:w="2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公司</w:t>
            </w:r>
          </w:p>
        </w:tc>
        <w:tc>
          <w:tcPr>
            <w:tcW w:type="dxa" w:w="23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定位</w:t>
            </w:r>
          </w:p>
        </w:tc>
        <w:tc>
          <w:tcPr>
            <w:tcW w:type="dxa" w:w="2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可比数据</w:t>
            </w:r>
          </w:p>
        </w:tc>
        <w:tc>
          <w:tcPr>
            <w:tcW w:type="dxa" w:w="2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与本公司差异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科伦药业（002422）</w:t>
            </w:r>
          </w:p>
        </w:tc>
        <w:tc>
          <w:tcPr>
            <w:tcW w:type="dxa" w:w="2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化学制剂、输液等业务为主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2025年营收185.13亿元，毛利率49.00%，PE-TTM约35.53倍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营收体量接近，但业务结构和盈利驱动不同。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丽珠集团（000513）</w:t>
            </w:r>
          </w:p>
        </w:tc>
        <w:tc>
          <w:tcPr>
            <w:tcW w:type="dxa" w:w="2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制剂、生物药等业务</w:t>
            </w:r>
          </w:p>
        </w:tc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2025年营收120.20亿元，毛利率65.90%，PE-TTM约17.45倍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毛利率明显更高，产品与研发结构并非一一对应。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华润三九（000999）</w:t>
            </w:r>
          </w:p>
        </w:tc>
        <w:tc>
          <w:tcPr>
            <w:tcW w:type="dxa" w:w="2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OTC、中药及消费健康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2025年营收316.03亿元，毛利率52.59%，PE-TTM约12.29倍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部分业务可比，但规模显著更大。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新华制药（000756）</w:t>
            </w:r>
          </w:p>
        </w:tc>
        <w:tc>
          <w:tcPr>
            <w:tcW w:type="dxa" w:w="2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化学药和原料药</w:t>
            </w:r>
          </w:p>
        </w:tc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2025年营收87.55亿元，毛利率18.78%，PE—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与哈药化学制剂业务部分可比；同日历史PE未取得可交叉核实数据。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同仁堂（600085）</w:t>
            </w:r>
          </w:p>
        </w:tc>
        <w:tc>
          <w:tcPr>
            <w:tcW w:type="dxa" w:w="2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品牌中药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2025年营收172.56亿元，毛利率约42.87%，PE-TTM约33.56倍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中药/OTC业务部分可比，但产品结构和渠道差异明显。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哈药兼有医药制造和区域流通，商业规模大且零售/DTP增长较快；短板是流通毛利薄、工业收入下滑，整体毛利率低于多数制药及品牌中药可比公司。可比公司PE为非交易所数据，仅作估值参照。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三、财务质量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3.1 经营业绩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600"/>
        <w:gridCol w:w="1100"/>
        <w:gridCol w:w="1600"/>
        <w:gridCol w:w="1100"/>
        <w:gridCol w:w="1400"/>
        <w:gridCol w:w="16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报告期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营业收入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同比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归母净利润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同比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扣非同比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2026年上半年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82.96亿元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+2.10%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4.10亿元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+57.99%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+45.39%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26.38%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159.64亿元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-1.31%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3.62亿元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-42.50%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-47.49%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26.0%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2024年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161.76亿元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+4.65%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6.29亿元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+59.10%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+80.08%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约28.24%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截至2026年10月1日；2026年中报未经审计，毛利率按披露数据计算。</w:t>
      </w:r>
    </w:p>
    <w:p>
      <w:pPr>
        <w:spacing w:after="160" w:line="300"/>
      </w:pPr>
      <w:r>
        <w:rPr>
          <w:sz w:val="22"/>
          <w:szCs w:val="22"/>
        </w:rPr>
        <w:t xml:space="preserve">2026年上半年利润修复快于收入，扣非增速低于归母；非经常性损益约0.55亿元。毛利率同比下降约0.67个百分点，经营现金流仍为负。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3.2 财务健康检查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000"/>
        <w:gridCol w:w="1100"/>
        <w:gridCol w:w="44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判断</w:t>
            </w:r>
          </w:p>
        </w:tc>
        <w:tc>
          <w:tcPr>
            <w:tcW w:type="dxa" w:w="4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加权平均ROE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2025年6.55%；2026H1 6.96%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一般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2025年盈利能力较上年明显回落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资产负债率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53.0%（2026中报）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一般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负债率过半，短期现金可覆盖借款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经营现金流/归母净利润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2025年1.22倍；2026H1 -0.11倍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上半年现金流为负，需跟踪回款及季节性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应收账款周转率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2025年3.65次；2026H1年化3.61次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应收账款增幅高于同期收入增幅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商誉/归母净资产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0.64%（2026中报）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良好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商誉规模相对净资产较小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四、估值与市场预期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4.1 估值水平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000"/>
        <w:gridCol w:w="2900"/>
        <w:gridCol w:w="28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当前</w:t>
            </w:r>
          </w:p>
        </w:tc>
        <w:tc>
          <w:tcPr>
            <w:tcW w:type="dxa" w:w="2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自身历史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同行对比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PE(TTM)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36.39倍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近5.2年87%分位（中位数17.72倍）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医药制造业中位PE约36.65倍（2026-09-23，粗略参照）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PB(MRQ)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3.05倍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近5.2年98%分位（中位数1.81倍）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PS(TTM)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1.16倍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近5.2年98%分位（中位数0.58倍）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股息率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0%（估值快照口径）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估值倍数由程序按2026-09-30收盘数据计算（滚动十二个月口径）</w:t>
      </w:r>
    </w:p>
    <w:p>
      <w:pPr>
        <w:spacing w:after="160" w:line="300"/>
      </w:pPr>
      <w:r>
        <w:rPr>
          <w:sz w:val="22"/>
          <w:szCs w:val="22"/>
        </w:rPr>
        <w:t xml:space="preserve">市场隐含预期：以当前36.39倍市盈率计，若投资者要求年化8%的回报、10年后按15倍市盈率估值，每股收益需年均增长约18.0%（不计分红，偏保守），可与下方一致预期增速对照。</w:t>
      </w:r>
    </w:p>
    <w:p>
      <w:pPr>
        <w:spacing w:after="160" w:line="300"/>
      </w:pPr>
      <w:r>
        <w:rPr>
          <w:sz w:val="22"/>
          <w:szCs w:val="22"/>
        </w:rPr>
        <w:t xml:space="preserve">9月30日PE-TTM 36.39倍，近5.2年87%分位；PB 3.05倍、PS 1.16倍均处98%分位，明显高于各自历史中位数。价格隐含EPS长期年增约18%，高于单家机构2026—28年约15.5%的预测；利润修复若不能持续，估值缓冲有限。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4.2 一致预期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2400"/>
        <w:gridCol w:w="2200"/>
        <w:gridCol w:w="1900"/>
        <w:gridCol w:w="19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年度</w:t>
            </w:r>
          </w:p>
        </w:tc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营业收入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归母净利润</w:t>
            </w:r>
          </w:p>
        </w:tc>
        <w:tc>
          <w:tcPr>
            <w:tcW w:type="dxa" w:w="1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净利润增速</w:t>
            </w:r>
          </w:p>
        </w:tc>
        <w:tc>
          <w:tcPr>
            <w:tcW w:type="dxa" w:w="1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每股收益(EPS)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164.03亿元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6.07亿元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0.24元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2027年</w:t>
            </w:r>
          </w:p>
        </w:tc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169.39亿元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6.99亿元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0.28元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2028年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174.91亿元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8.06亿元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0.32元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仅1家机构（华泰证券），非多机构一致预期；研报日期索引为2026年8月26日或28日，预测内容一致。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4.3 机构观点</w:t>
      </w:r>
    </w:p>
    <w:p>
      <w:pPr>
        <w:spacing w:after="160" w:line="300"/>
      </w:pPr>
      <w:r>
        <w:rPr>
          <w:sz w:val="22"/>
          <w:szCs w:val="22"/>
        </w:rPr>
        <w:t xml:space="preserve">仅华泰证券1家近期覆盖：目标价9.16元，区间及均值均为9.16元；聚合页面标注日期为2026年8月26日或28日。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1600"/>
        <w:gridCol w:w="2000"/>
        <w:gridCol w:w="39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机构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评级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日期</w:t>
            </w:r>
          </w:p>
        </w:tc>
        <w:tc>
          <w:tcPr>
            <w:tcW w:type="dxa" w:w="3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备注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华泰证券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买入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2026-08-26/28</w:t>
            </w:r>
          </w:p>
        </w:tc>
        <w:tc>
          <w:tcPr>
            <w:tcW w:type="dxa" w:w="3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目标价9.16元；单家机构样本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五、催化剂与近期事件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5.1 未来关键节点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000"/>
        <w:gridCol w:w="47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时间</w:t>
            </w:r>
          </w:p>
        </w:tc>
        <w:tc>
          <w:tcPr>
            <w:tcW w:type="dxa" w:w="3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事件</w:t>
            </w:r>
          </w:p>
        </w:tc>
        <w:tc>
          <w:tcPr>
            <w:tcW w:type="dxa" w:w="4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看点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2026-10-27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预约披露2026年三季报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关注医药工业增长、扣非利润及一次性收益影响；与半年报趋势相比明显放缓需留意。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2026年内（具体执行日由各地通知）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第十二批集采地方落地</w:t>
            </w:r>
          </w:p>
        </w:tc>
        <w:tc>
          <w:tcPr>
            <w:tcW w:type="dxa" w:w="4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关注合同签署、地方采购启动及实际销售；若执行落地并出现销售贡献偏积极，若持续未执行则兑现延后。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2026年9月1日起，未来约6个月观察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新版基药目录新增品种销售转化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关注新增规格终端销售变化；公司未披露量化兑现时间表，尚不能将目录纳入视为业绩增量。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5.2 近期重要事件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2026-08-26 半年报归母净利增长57.99%（利好）</w:t>
      </w:r>
      <w:r>
        <w:rPr>
          <w:sz w:val="22"/>
          <w:szCs w:val="22"/>
        </w:rPr>
        <w:t xml:space="preserve">：上半年营收82.96亿元、归母净利润4.103亿元，分别同比增长2.10%、57.99%；扣非净利润增长约45.39%。利润增长较快，但包含约3,569万元闲置设备处置收益。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2026-08-06 两款制剂入选第十二批集采（利好）</w:t>
      </w:r>
      <w:r>
        <w:rPr>
          <w:sz w:val="22"/>
          <w:szCs w:val="22"/>
        </w:rPr>
        <w:t xml:space="preserve">：注射用头孢他啶阿维巴坦钠和富马酸伏诺拉生片拟中选，采购周期至2029年末；公司称公告时产品尚未销售，合同及地方执行和收入贡献仍待落实。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2026-07-14 新增6个品种纳入新版基药目录（利好）</w:t>
      </w:r>
      <w:r>
        <w:rPr>
          <w:sz w:val="22"/>
          <w:szCs w:val="22"/>
        </w:rPr>
        <w:t xml:space="preserve">：公司及所属企业有118个规格纳入2026年版目录，新增6个品种、10个规格，目录于9月1日施行。公司称短期预计无重大业绩影响，长期效果取决于市场与终端需求。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2026-09-23 股价异常波动提示估值风险（利空）</w:t>
      </w:r>
      <w:r>
        <w:rPr>
          <w:sz w:val="22"/>
          <w:szCs w:val="22"/>
        </w:rPr>
        <w:t xml:space="preserve">：公司披露9月21日至22日连续涨停、累计涨幅21.07%；截至9月21日静态市盈率57.46倍，高于其引用的行业27.66倍，并称未发现应披露未披露的重大事项。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六、多空分歧与风险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6.1 看多理由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2026H1归母净利增长57.99%、扣非增长45.39%，利润修复幅度显著高于2.10%的收入增速。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2025年商业零售收入增长21.04%，医药商业收入增长3.32%，零售/DTP为商业板块提供增量支撑。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两款制剂拟中选第十二批集采，118个规格纳入新版基药目录；若执行并转化为销售，可拓展产品覆盖。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6.2 看空理由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2025年医药工业收入下降8.52%，保健品、化学制剂和中药收入均下滑，工业端尚未扭转。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PE-TTM 36.39倍处近5.2年87%分位，PB、PS均处98%分位，估值已处自身历史高位。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商业批发客户毛利率仅3.50%，医药商业收入占比约64.8%；流通业务规模大但利润弹性有限。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6.3 其他风险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2026H1经营现金流/归母净利润为-0.11倍、应收账款周转率年化3.61次；回款继续走弱将占用资金并增加减值压力。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两款拟中选集采产品公告时尚未销售，若地方执行或合同落地延迟，预期收入贡献将后移。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新版基药目录公司称短期预计无重大业绩影响；若新增品种终端需求转化不足，目录扩容难形成利润增量。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七、跟踪清单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200"/>
        <w:gridCol w:w="2800"/>
        <w:gridCol w:w="2800"/>
      </w:tblGrid>
      <w:tr>
        <w:trPr>
          <w:tblHeader/>
        </w:trPr>
        <w:tc>
          <w:tcPr>
            <w:tcW w:type="dxa" w:w="2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跟踪指标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当前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验证看多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验证看空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三季报扣非利润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预约2026年10月27日披露；H1扣非增45.39%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扣非增速延续正增长，且与归母增速差距收窄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扣非明显放缓或归母增长主要依赖一次性收益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医药工业收入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2025年同比下降8.52%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后续季度收入恢复同比增长，毛利率止跌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收入继续下降且毛利率进一步走低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经营现金流与回款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H1现金流/归母净利-0.11倍；应收周转年化3.61次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全年经营现金流转正并覆盖归母净利润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全年经营现金流仍为负或周转率低于3.61次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集采与基药销售兑现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两款制剂拟中选；新增目录品种尚无量化销售数据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完成地方执行并披露实际销售贡献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执行延迟，或目录新增品种销售未见改善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八、股价与短线展望（未来一周，情景推演，仅供参考）</w:t>
      </w:r>
    </w:p>
    <w:p>
      <w:pPr>
        <w:spacing w:after="160"/>
      </w:pPr>
      <w:r>
        <w:rPr>
          <w:b/>
          <w:bCs/>
          <w:color w:val="9C5700"/>
          <w:sz w:val="20"/>
          <w:szCs w:val="20"/>
        </w:rPr>
        <w:t xml:space="preserve">⚠️风险提示：以下为基于9月30日收盘数据的主观情景推演，权重属启发式判断、非统计概率，不构成投资建议。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8.1 技术面概况</w:t>
      </w:r>
    </w:p>
    <w:p>
      <w:pPr>
        <w:spacing w:after="160" w:line="300"/>
      </w:pPr>
      <w:r>
        <w:rPr>
          <w:sz w:val="22"/>
          <w:szCs w:val="22"/>
        </w:rPr>
        <w:t xml:space="preserve">股价仍低于7.81—7.87元均线密集区，MACD柱值转弱；9月30日放量上涨仅构成反抽观察信号。公司9月23日提示短期涨幅较大及快速下跌风险，未见可确认的新增重大催化。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3000"/>
        <w:gridCol w:w="45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3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  <w:tc>
          <w:tcPr>
            <w:tcW w:type="dxa" w:w="4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解读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MA5/MA10/MA20/MA60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MA5 7.81 / MA10 7.87 / MA20 7.81 / MA60 7.08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收盘低于短期均线密集区，MA60在下方。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MACD（DIF/DEA/柱）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DIF -0.003 / DEA 0.091 / 柱 -0.187</w:t>
            </w:r>
          </w:p>
        </w:tc>
        <w:tc>
          <w:tcPr>
            <w:tcW w:type="dxa" w:w="4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柱值较前一日进一步走弱。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RSI6/RSI14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RSI6 41.1 / RSI14 46.1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短线动能偏弱，尚未进入明显超卖区。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布林上轨/中轨/下轨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上轨 9.2 / 中轨 7.81 / 下轨 6.41</w:t>
            </w:r>
          </w:p>
        </w:tc>
        <w:tc>
          <w:tcPr>
            <w:tcW w:type="dxa" w:w="4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中轨与短期均线相近，下轨参考支撑。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近5日/近20日涨跌幅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-18.50%/-22.02%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近期回撤较大，单日反弹不足以确认反转。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8.2 关键价位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200"/>
        <w:gridCol w:w="5900"/>
      </w:tblGrid>
      <w:tr>
        <w:trPr>
          <w:tblHeader/>
        </w:trPr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位置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区间</w:t>
            </w:r>
          </w:p>
        </w:tc>
        <w:tc>
          <w:tcPr>
            <w:tcW w:type="dxa" w:w="5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短期压力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7.80—8.00元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对应短期均线密集区；放量站稳后才有条件观察更高阻力区。</w:t>
            </w:r>
          </w:p>
        </w:tc>
      </w:tr>
      <w:tr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第一支撑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7.00—7.10元</w:t>
            </w:r>
          </w:p>
        </w:tc>
        <w:tc>
          <w:tcPr>
            <w:tcW w:type="dxa" w:w="5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参考MA60及近20日低点上方；失守可能再次测试6.92元附近。</w:t>
            </w:r>
          </w:p>
        </w:tc>
      </w:tr>
      <w:tr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强支撑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6.40—6.90元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参考近20日低点及布林下轨；有效跌破将加大技术风险，近端下方支撑未明。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8.3 按历史波动率测算的一周区间</w:t>
      </w:r>
    </w:p>
    <w:p>
      <w:pPr>
        <w:spacing w:after="160" w:line="300"/>
      </w:pPr>
      <w:r>
        <w:rPr>
          <w:sz w:val="22"/>
          <w:szCs w:val="22"/>
        </w:rPr>
        <w:t xml:space="preserve">以2026-09-30价格7.4元为基准，用近300个交易日的收益分布（按当前指数加权日波动率约5.8%缩放，保留这只股票自身的大涨大跌频率）推算未来5个交易日的收盘价范围：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700"/>
        <w:gridCol w:w="40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覆盖概率</w:t>
            </w:r>
          </w:p>
        </w:tc>
        <w:tc>
          <w:tcPr>
            <w:tcW w:type="dxa" w:w="3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价格区间</w:t>
            </w:r>
          </w:p>
        </w:tc>
        <w:tc>
          <w:tcPr>
            <w:tcW w:type="dxa" w:w="4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相对基准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约68%</w:t>
            </w:r>
          </w:p>
        </w:tc>
        <w:tc>
          <w:tcPr>
            <w:tcW w:type="dxa" w:w="3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6.42～8.66元</w:t>
            </w:r>
          </w:p>
        </w:tc>
        <w:tc>
          <w:tcPr>
            <w:tcW w:type="dxa" w:w="4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-13.2%～+17.0%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约95%</w:t>
            </w:r>
          </w:p>
        </w:tc>
        <w:tc>
          <w:tcPr>
            <w:tcW w:type="dxa" w:w="3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5.29～10.64元</w:t>
            </w:r>
          </w:p>
        </w:tc>
        <w:tc>
          <w:tcPr>
            <w:tcW w:type="dxa" w:w="4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-28.5%～+43.8%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该区间只反映这只股票近期的波动幅度，不含涨跌方向判断；遇到重大公告或大盘急跌，实际走势仍可能超出区间。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8.4 未来一周情景（主观权重，非统计概率）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震荡整理（相对权重较高，约五成）</w:t>
      </w:r>
      <w:r>
        <w:rPr>
          <w:sz w:val="22"/>
          <w:szCs w:val="22"/>
        </w:rPr>
        <w:t xml:space="preserve">：未来一周收盘参考6.90—8.00元；守住6.92—7.08元但未持续放量站上7.80—8.00元，偏区间整理。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偏弱下行（权重中等，约三成）</w:t>
      </w:r>
      <w:r>
        <w:rPr>
          <w:sz w:val="22"/>
          <w:szCs w:val="22"/>
        </w:rPr>
        <w:t xml:space="preserve">：未来一周收盘参考6.40—7.10元；若跌破6.92—7.08元且板块走弱或个股放量下跌，可能测试布林下轨附近。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反弹走强（权重偏低，约两成）</w:t>
      </w:r>
      <w:r>
        <w:rPr>
          <w:sz w:val="22"/>
          <w:szCs w:val="22"/>
        </w:rPr>
        <w:t xml:space="preserve">：未来一周收盘参考7.80—8.60元；需放量站上7.80—8.00元，且医药板块不明显走弱、资金分歧收敛。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8.5 资金与流动性</w:t>
      </w:r>
    </w:p>
    <w:p>
      <w:pPr>
        <w:spacing w:after="160" w:line="300"/>
      </w:pPr>
      <w:r>
        <w:rPr>
          <w:sz w:val="22"/>
          <w:szCs w:val="22"/>
        </w:rPr>
        <w:t xml:space="preserve">近几个可核对交易日换手率约17.15%—20.61%、成交额约31.21亿—41.20亿元；主力资金数据商口径分歧较大。截至2026年6月30日，前十大股东合计持股约51.79%，控股股东持股46.58%；名单未见公募、社保或QFII，港股通登记不代表最终持有人类别。股东数据滞后约三个月；高换手伴随快速涨跌，交易活跃不等于稳定承接，追价滑点风险上升。</w:t>
      </w:r>
    </w:p>
    <w:p>
      <w:pPr>
        <w:spacing w:after="160" w:line="300"/>
      </w:pPr>
      <w:r>
        <w:rPr>
          <w:sz w:val="22"/>
          <w:szCs w:val="22"/>
        </w:rPr>
        <w:t xml:space="preserve">若单日成交额超过45亿元且收盘站上7.80—8.00元，可视为较近期常态更强的量价确认；仅放量未收复则不确认转强。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以上情景推演基于2026年9月30日收盘数据及历史价格、技术指标测算，短期股价还会受消息面、资金面、大盘环境等多重因素扰动，技术指标本身存在滞后性和局限性，不构成对未来实际走势的保证，也不构成买卖建议，请结合最新市场信息独立判断并自行承担投资风险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数据来源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哈药集团股份有限公司2025年年度报告 — https://pdf.dfcfw.com/pdf/H2_AN202604221821446566_1.pdf?t=1778846262277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哈药股份(600664)_公司公告_哈药股份：2025年年度报告新浪财经_新浪网 — https://money.finance.sina.com.cn/corp/view/vCB_AllBulletinDetail.php?id=12140260&amp;stockid=600664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哈药股份(600664)年度数据分析-中商产业研究院数据库-中商情报网 — https://s.askci.com/stock/financialanalysis/600664/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https://static.cninfo.com.cn/finalpage/2026-08-26/1225502687.PDF — https://static.cninfo.com.cn/finalpage/2026-08-26/1225502687.PDF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哈药股份(600664)_公司公告_哈药股份：2024年年度报告新浪财经_新浪网 — https://money.finance.sina.com.cn/corp/view/vCB_AllBulletinDetail.php?id=11002294&amp;stockid=600664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公司公告_哈药股份：2026年半年度业绩预增公告新浪财经_新浪网 — https://vip.stock.finance.sina.com.cn/corp/view/vCB_AllBulletinDetail.php?id=12437486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公司公告_哈药股份：2025年年度报告新浪财经_新浪网 — https://vip.stock.finance.sina.com.cn/corp/view/vCB_AllBulletinDetail.php?id=12140260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哈药股份(600664)_股票行情，行情首页_中财网 — https://quote.cfi.cn/quote.aspx?stockcode=600664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哈药股份(600664) 盈利预测_F10_同花顺金融服务网 — https://basic.10jqka.com.cn/176/600664/worth.html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哈药股份(600664) 盈利预测_F10_同花顺金融服务网 — https://basic.10jqka.com.cn/600664/worth.html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哈药股份 7.40 +3.64%(0.26)股票价格-行情-走势图-行情-金融界 — https://summary.jrj.com.cn/stock/sh/600664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哈药股份(600664)_公司公告_哈药股份：2026年半年度报告新浪财经_新浪网 — https://money.finance.sina.com.cn/corp/view/vCB_AllBulletinDetail.php?id=12534160&amp;stockid=600664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哈药股份(600664)_公司公告_哈药股份：2026年半年度业绩预增公告新浪财经_新浪网 — https://money.finance.sina.com.cn/corp/view/vCB_AllBulletinDetail.php?id=12437486&amp;stockid=600664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新潮实业(600777)董事会决议暨召开股东大会的通知 — https://file.finance.sina.com.cn/211.154.219.97%3A9494/MRGG/CNSESH_STOCK/2026/2026-7/2026-07-14/12443055.PDF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新潮实业(600777)董事会决议暨召开股东大会的通知 — https://file.finance.sina.com.cn/211.154.219.97%3A9494/MRGG/CNSESH_STOCK/2026/2026-8/2026-08-04/12475156.PDF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新潮实业(600777)董事会决议暨召开股东大会的通知 — https://static.cninfo.com.cn/finalpage/2026-07-30/1225445863.PDF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哈药股份(600664)_公司公告_哈药股份：股票交易异常波动公告新浪财经_新浪网 — https://money.finance.sina.com.cn/corp/view/vCB_AllBulletinDetail.php?id=12616109&amp;stockid=600664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国家医疗保障局 国家组织集中采购 关于公布第12批国家组织药品集中带量采购中选结果（GY-YD2026-1）的通知 — https://www.nhsa.gov.cn/art/2026/8/6/art_187_21682.html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哈药集团股份有限公司 — https://static.cninfo.com.cn/finalpage/2026-06-04/1225349006.PDF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哈药股份(600664)个股分析_牛叉诊股_同花顺财经 — https://doctor.10jqka.com.cn/600664/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哈药股份(600664)_股票行情，行情首页_中财网 — https://quotedx.cfi.cn/quote.aspx?client=pc&amp;lm=outline&amp;stockid=1369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哈药股份(600664)主要股东_新浪财经_新浪网 — https://money.finance.sina.com.cn/corp/go.php/vCI_StockHolder/stockid/600664.phtml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本报告由AI基于公开渠道信息自动检索、整理并生成，信息截至 行情及技术指标截至2026年9月30日收盘，可能存在时效性差异，具体数据请以公司正式公告及权威数据终端为准。本报告仅为信息整理与研究参考，不构成任何投资建议，投资者应独立判断并自行承担投资风险。</w:t>
      </w:r>
    </w:p>
    <w:sectPr>
      <w:pgSz w:w="11907" w:h="16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4" w:hanging="288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qFormat/>
    <w:rPr>
      <w:rFonts w:ascii="Microsoft YaHei" w:cs="Microsoft YaHei" w:eastAsia="Microsoft YaHei" w:hAnsi="Microsoft YaHei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2026-10-01T14:10:00.557Z</dcterms:created>
  <dcterms:modified xsi:type="dcterms:W3CDTF">2026-10-01T14:10:00.557Z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