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宁波均胜电子股份有限公司（均胜电子） (600699)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行业：汽车零部件及汽车电子Tier 1供应商</w:t>
      </w:r>
    </w:p>
    <w:p>
      <w:pPr>
        <w:jc w:val="center"/>
      </w:pPr>
      <w:r>
        <w:rPr>
          <w:color w:val="595959"/>
          <w:sz w:val="22"/>
          <w:szCs w:val="22"/>
        </w:rPr>
        <w:t xml:space="preserve">报告日期：2026年9月14日</w:t>
      </w:r>
    </w:p>
    <w:p>
      <w:pPr>
        <w:jc w:val="center"/>
      </w:pPr>
      <w:r>
        <w:rPr>
          <w:color w:val="595959"/>
          <w:sz w:val="20"/>
          <w:szCs w:val="20"/>
        </w:rPr>
        <w:t xml:space="preserve">截至2026年9月11日收盘</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均胜电子是全球化汽车安全与汽车电子Tier 1供应商，2025年实现营业收入611.83亿元、归母净利润13.36亿元，同比分别增长9.52%和39.08%；但2026年上半年收入降至280.91亿元，同比下降7.43%，扣非归母净利润同比下降7.15%至6.55亿元，显示当前核心经营表现弱于表观归母净利润增速。公司主营业务毛利率已由2021年的11.46%提升至2025年的18.40%，海外业务降本增效和汽车安全业务盈利修复是近期业绩改善的重要支撑。</w:t>
      </w:r>
    </w:p>
    <w:p>
      <w:pPr>
        <w:spacing w:after="160" w:line="300"/>
      </w:pPr>
      <w:r>
        <w:rPr>
          <w:sz w:val="22"/>
          <w:szCs w:val="22"/>
        </w:rPr>
        <w:t xml:space="preserve">公司业务覆盖汽车安全、智能座舱、智能驾驶、车联网及新能源管理等领域，拥有超过25个研发中心和超过60个生产基地，但相关全球化规模为官网概数，且公司未披露覆盖全部产品的统一产能利用率指标。汽车安全业务毛利率在2025年升至17.07%，汽车电子业务毛利率约19.70%，后续增长取决于高技术含量汽车电子产品的结构升级、项目量产以及全球制造网络整合能否持续兑现。</w:t>
      </w:r>
    </w:p>
    <w:p>
      <w:pPr>
        <w:spacing w:after="160" w:line="300"/>
      </w:pPr>
      <w:r>
        <w:rPr>
          <w:sz w:val="22"/>
          <w:szCs w:val="22"/>
        </w:rPr>
        <w:t xml:space="preserve">近期公司引入战略投资者向安徽均胜安全增资合计15亿元，资金主要用于偿还股东借款和银行贷款，以降低负债规模及财务费用；同时以约6.45亿元认购香山股份定向增发，持股比例增至39.48%。车载光通信、AIDC电源、液冷、机器人及eVTOL等新业务仍处于研发、样品、验证或客户导入阶段，尚未披露明确订单金额、量产时间或大规模收入贡献。</w:t>
      </w:r>
    </w:p>
    <w:p>
      <w:pPr>
        <w:spacing w:after="160" w:line="300"/>
      </w:pPr>
      <w:r>
        <w:rPr>
          <w:sz w:val="22"/>
          <w:szCs w:val="22"/>
        </w:rPr>
        <w:t xml:space="preserve">截至2026年9月11日，股价为18.55元，低于10日、20日、50日及250日均线，且接近18.25~18.7元支撑观察区；短期资金面偏弱，9月11日超大单与大单合计净流出约4945万元。按机构预测均值计算，2026年至2028年归母净利润预计由17.46亿元增至23.70亿元，前瞻市盈率约由16.4倍降至12.1倍，但该预期较依赖下半年收入恢复、毛利率稳定及海外业务改善。</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600699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均胜电子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浙江宁波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汽车电子和汽车安全系统的研发、制造与销售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产业链定位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汽车产业链中游、全球化汽车零部件Tier 1供应商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全球化布局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公司官网披露拥有超过25个研发中心、超过60个生产基地，员工超过4万人，业务覆盖亚洲、欧洲、北美等主要汽车市场；上述为官网概数，不等同于审计口径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产能披露</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公司未披露覆盖全部汽车安全和汽车电子产品的统一设计产能或总产能利用率指标</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汽车安全事业部：安全带及卷收器、锁扣、织带、安全气囊、智能方向盘、集成式主动与被动安全解决方案、乘员保护及碰撞安全相关传感器和系统产品</w:t>
      </w:r>
    </w:p>
    <w:p>
      <w:pPr>
        <w:pStyle w:val="ListParagraph"/>
        <w:numPr>
          <w:ilvl w:val="0"/>
          <w:numId w:val="2"/>
        </w:numPr>
        <w:spacing w:after="80" w:line="280"/>
      </w:pPr>
      <w:r>
        <w:rPr>
          <w:sz w:val="22"/>
          <w:szCs w:val="22"/>
        </w:rPr>
        <w:t xml:space="preserve">汽车电子事业部：智能座舱域控制器及座舱解决方案、T-BOX、5G/V2X、数字钥匙、智能天线、智能驾驶域控制器、驾驶辅助、人机交互、新能源管理系统及功率电子</w:t>
      </w:r>
    </w:p>
    <w:p>
      <w:pPr>
        <w:pStyle w:val="ListParagraph"/>
        <w:numPr>
          <w:ilvl w:val="0"/>
          <w:numId w:val="2"/>
        </w:numPr>
        <w:spacing w:after="80" w:line="280"/>
      </w:pPr>
      <w:r>
        <w:rPr>
          <w:sz w:val="22"/>
          <w:szCs w:val="22"/>
        </w:rPr>
        <w:t xml:space="preserve">智能汽车科技研究院：围绕智能座舱、智能驾驶、中央计算单元、区域控制器等高级智能化产品开展研发</w:t>
      </w:r>
    </w:p>
    <w:p>
      <w:pPr>
        <w:pStyle w:val="ListParagraph"/>
        <w:numPr>
          <w:ilvl w:val="0"/>
          <w:numId w:val="2"/>
        </w:numPr>
        <w:spacing w:after="80" w:line="280"/>
      </w:pPr>
      <w:r>
        <w:rPr>
          <w:sz w:val="22"/>
          <w:szCs w:val="22"/>
        </w:rPr>
        <w:t xml:space="preserve">新能源研究院：围绕新能源管理、充配电及相关汽车电子产品开展研发</w:t>
      </w:r>
    </w:p>
    <w:p>
      <w:pPr>
        <w:pStyle w:val="ListParagraph"/>
        <w:numPr>
          <w:ilvl w:val="0"/>
          <w:numId w:val="2"/>
        </w:numPr>
        <w:spacing w:after="80" w:line="280"/>
      </w:pPr>
      <w:r>
        <w:rPr>
          <w:sz w:val="22"/>
          <w:szCs w:val="22"/>
        </w:rPr>
        <w:t xml:space="preserve">香山股份相关业务：汽车智能座舱部件、新能源汽车配件及充配电系统、智能充电桩、豪华智能饰件</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均胜电子位于汽车产业链中游，是面向全球整车厂提供汽车安全、汽车电子及新能源相关系统的Tier 1供应商。公司核心竞争力来自客户认证、全球研发制造网络、项目制量产交付和多产品协同，而非对上游资源或下游终端市场拥有绝对定价权。</w:t>
      </w:r>
    </w:p>
    <w:p>
      <w:pPr>
        <w:pStyle w:val="ListParagraph"/>
        <w:numPr>
          <w:ilvl w:val="0"/>
          <w:numId w:val="2"/>
        </w:numPr>
        <w:spacing w:after="80" w:line="280"/>
      </w:pPr>
      <w:r>
        <w:rPr>
          <w:sz w:val="22"/>
          <w:szCs w:val="22"/>
        </w:rPr>
        <w:t xml:space="preserve">主要采购汽车电子元件、车规级芯片、PCB及电子板卡；铜、铝、镁铝合金等金属材料；尼龙纱线、塑料粒子、树脂等化工材料；线束、连接器、传感器、执行器等机电零部件，以及模具、工装、自动化设备、能源、物流和人工等制造投入。</w:t>
      </w:r>
    </w:p>
    <w:p>
      <w:pPr>
        <w:pStyle w:val="ListParagraph"/>
        <w:numPr>
          <w:ilvl w:val="0"/>
          <w:numId w:val="2"/>
        </w:numPr>
        <w:spacing w:after="80" w:line="280"/>
      </w:pPr>
      <w:r>
        <w:rPr>
          <w:sz w:val="22"/>
          <w:szCs w:val="22"/>
        </w:rPr>
        <w:t xml:space="preserve">2025年汽车安全系统成本中原材料占比约66.39%、制造费用占比约33.61%；汽车电子系统成本中原材料占比约85.51%、制造费用占比约14.49%。汽车电子业务对芯片、电子元件、PCB及其他电子物料的价格和供应稳定性更敏感。</w:t>
      </w:r>
    </w:p>
    <w:p>
      <w:pPr>
        <w:pStyle w:val="ListParagraph"/>
        <w:numPr>
          <w:ilvl w:val="0"/>
          <w:numId w:val="2"/>
        </w:numPr>
        <w:spacing w:after="80" w:line="280"/>
      </w:pPr>
      <w:r>
        <w:rPr>
          <w:sz w:val="22"/>
          <w:szCs w:val="22"/>
        </w:rPr>
        <w:t xml:space="preserve">2025年前五大供应商采购金额约33.85亿元，占年度采购总额约7%；2024年前五大供应商采购金额约39.05亿元，占比约8%。该数据为合并口径，不能反映单一关键芯片、电子元件或特殊安全材料的供应商集中度。</w:t>
      </w:r>
    </w:p>
    <w:p>
      <w:pPr>
        <w:pStyle w:val="ListParagraph"/>
        <w:numPr>
          <w:ilvl w:val="0"/>
          <w:numId w:val="2"/>
        </w:numPr>
        <w:spacing w:after="80" w:line="280"/>
      </w:pPr>
      <w:r>
        <w:rPr>
          <w:sz w:val="22"/>
          <w:szCs w:val="22"/>
        </w:rPr>
        <w:t xml:space="preserve">公司通过集中采购、全球供应商整合、核心零部件自制或垂直整合、产品平台化、跨区域产能调配和自动化改造控制成本；但对芯片、电子元件、金属及化工材料价格仍存在一定成本暴露，不具备对上游原材料的绝对定价权。</w:t>
      </w:r>
    </w:p>
    <w:p>
      <w:pPr>
        <w:pStyle w:val="ListParagraph"/>
        <w:numPr>
          <w:ilvl w:val="0"/>
          <w:numId w:val="2"/>
        </w:numPr>
        <w:spacing w:after="80" w:line="280"/>
      </w:pPr>
      <w:r>
        <w:rPr>
          <w:sz w:val="22"/>
          <w:szCs w:val="22"/>
        </w:rPr>
        <w:t xml:space="preserve">公司通过将部分产能从高成本国家转移至中国、东南亚等相对低成本区域，并关闭或整合部分低效工厂，改善产能利用率和成本结构；2024年关闭德国阿沙芬堡工厂和罗马尼亚周边卫星工厂，并推进美洲地区部分工厂关停。</w:t>
      </w:r>
    </w:p>
    <w:p>
      <w:pPr>
        <w:pStyle w:val="ListParagraph"/>
        <w:numPr>
          <w:ilvl w:val="0"/>
          <w:numId w:val="2"/>
        </w:numPr>
        <w:spacing w:after="80" w:line="280"/>
      </w:pPr>
      <w:r>
        <w:rPr>
          <w:sz w:val="22"/>
          <w:szCs w:val="22"/>
        </w:rPr>
        <w:t xml:space="preserve">主要客户为全球整车厂，包括宝马、奔驰、奥迪、大众、通用、福特、本田、丰田等传统车企，以及国内自主品牌、新势力车企和新能源汽车厂商。销售通常采用订单制和项目制，需经历客户定点、研发验证、小批量试制、量产认证和持续供货。</w:t>
      </w:r>
    </w:p>
    <w:p>
      <w:pPr>
        <w:pStyle w:val="ListParagraph"/>
        <w:numPr>
          <w:ilvl w:val="0"/>
          <w:numId w:val="2"/>
        </w:numPr>
        <w:spacing w:after="80" w:line="280"/>
      </w:pPr>
      <w:r>
        <w:rPr>
          <w:sz w:val="22"/>
          <w:szCs w:val="22"/>
        </w:rPr>
        <w:t xml:space="preserve">2025年前五大客户销售额约297.23亿元，占年度销售总额49%；2024年前五大客户销售额约266.14亿元，占比48%。公司披露不存在单个客户销售收入超过总额50%的情形，但前五大客户接近一半收入，显示下游客户集中度和整车厂采购议价压力较高。</w:t>
      </w:r>
    </w:p>
    <w:p>
      <w:pPr>
        <w:pStyle w:val="ListParagraph"/>
        <w:numPr>
          <w:ilvl w:val="0"/>
          <w:numId w:val="2"/>
        </w:numPr>
        <w:spacing w:after="80" w:line="280"/>
      </w:pPr>
      <w:r>
        <w:rPr>
          <w:sz w:val="22"/>
          <w:szCs w:val="22"/>
        </w:rPr>
        <w:t xml:space="preserve">前五大客户具体名称及各自销售占比未在公开年报摘要中完整披露，上述集中度数据仅列示2024年和2025年，且研究纪要未提供可进一步交叉核实的其他口径，具体以最新年报为准。</w:t>
      </w:r>
    </w:p>
    <w:p>
      <w:pPr>
        <w:pStyle w:val="ListParagraph"/>
        <w:numPr>
          <w:ilvl w:val="0"/>
          <w:numId w:val="2"/>
        </w:numPr>
        <w:spacing w:after="80" w:line="280"/>
      </w:pPr>
      <w:r>
        <w:rPr>
          <w:sz w:val="22"/>
          <w:szCs w:val="22"/>
        </w:rPr>
        <w:t xml:space="preserve">整车厂通常在项目定点和车型生命周期中确定产品价格，供应商需承担前期研发、模具、验证和产线投入，量产后可能面临年度降价、成本转嫁和质量索赔压力。</w:t>
      </w:r>
    </w:p>
    <w:p>
      <w:pPr>
        <w:pStyle w:val="ListParagraph"/>
        <w:numPr>
          <w:ilvl w:val="0"/>
          <w:numId w:val="2"/>
        </w:numPr>
        <w:spacing w:after="80" w:line="280"/>
      </w:pPr>
      <w:r>
        <w:rPr>
          <w:sz w:val="22"/>
          <w:szCs w:val="22"/>
        </w:rPr>
        <w:t xml:space="preserve">产品通过整车厂认证并进入量产后，更换供应商通常涉及重新验证和质量风险，因此公司具有一定客户黏性和项目生命周期保护；但其本质仍是大型整车厂体系内的Tier 1供应商，不属于强定价权的消费品牌或资源型企业。</w:t>
      </w:r>
    </w:p>
    <w:p>
      <w:pPr>
        <w:pStyle w:val="ListParagraph"/>
        <w:numPr>
          <w:ilvl w:val="0"/>
          <w:numId w:val="2"/>
        </w:numPr>
        <w:spacing w:after="80" w:line="280"/>
      </w:pPr>
      <w:r>
        <w:rPr>
          <w:sz w:val="22"/>
          <w:szCs w:val="22"/>
        </w:rPr>
        <w:t xml:space="preserve">截至2025年12月31日，公司合并口径应收票据及应收账款约92.08亿元，相当于2025年营业收入约612亿元的15%左右；2024年末约86.78亿元，相当于当年营业收入的15.5%。该比例为期末余额除以全年收入的静态计算，不等同于严格意义上的应收账款周转天数。2025年经营活动产生的现金流量净额约53.98亿元，明显高于当年归母净利润约13.4亿元，表明经营现金回收能力总体较好，但大型客户付款周期和供应链金融安排仍形成资金占用。</w:t>
      </w:r>
    </w:p>
    <w:p>
      <w:pPr>
        <w:pStyle w:val="ListParagraph"/>
        <w:numPr>
          <w:ilvl w:val="0"/>
          <w:numId w:val="2"/>
        </w:numPr>
        <w:spacing w:after="80" w:line="280"/>
      </w:pPr>
      <w:r>
        <w:rPr>
          <w:sz w:val="22"/>
          <w:szCs w:val="22"/>
        </w:rPr>
        <w:t xml:space="preserve">供应端：2025年前五大供应商采购占比约7%，2024年约8%，对少数供应商的整体依赖度不高，但合并口径无法排除关键芯片、电子元件或特殊安全材料的单点供应风险。客户端：2025年前五大客户销售占比49%，2024年为48%，数据仅覆盖上述两个年度，前五大客户名称及单一客户占比未完整披露，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主营业务毛利率11.46%；汽车安全系统8.49%；汽车电子系统18.99%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疫情、芯片短缺、原材料和运输成本上涨，安全业务收入下降且成本刚性较强，毛利率承压。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主营业务毛利率12.00%；汽车安全系统9.14%；汽车电子系统18.52%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集中采购、供应链优化、生产效率提升和组织结构调整推动安全业务毛利率小幅修复；汽车电子仍受芯片短缺、能源及原材料上涨影响。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主营业务毛利率约15.16%；汽车安全系统12.77%；汽车电子系统20.65%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全球供应链逐步恢复，安全业务在欧洲、美洲改善；汽车电子受产品组合优化、物料成本和全球海运成本控制影响，毛利率提升。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主营业务毛利率16.32%；汽车安全系统14.81%；汽车电子系统19.71%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安全业务受全球供应链优化、成本改善及欧洲和美洲业务调整影响，毛利率同比提升2.27个百分点；汽车电子毛利率约20%。</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主营业务毛利率18.40%；汽车安全系统17.07%；汽车电子系统19.70%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安全业务受原材料降本、全球产能精简、海外区域经营改善和制造效率提升推动；汽车电子毛利率基本稳定，技术和系统集成属性提供支撑。</w:t>
            </w:r>
          </w:p>
        </w:tc>
      </w:tr>
    </w:tbl>
    <w:p>
      <w:pPr>
        <w:spacing w:before="200"/>
      </w:pPr>
    </w:p>
    <w:p>
      <w:pPr>
        <w:spacing w:after="160" w:line="300"/>
      </w:pPr>
      <w:r>
        <w:rPr>
          <w:sz w:val="22"/>
          <w:szCs w:val="22"/>
        </w:rPr>
        <w:t xml:space="preserve">公司处于汽车产业链中游、技术和认证壁垒较高的全球化Tier 1位置，整体更接近中游系统集成和制造环节，而非上游资源或下游品牌高毛利环节。汽车安全业务盈利修复主要依靠供应链降本、全球产能整合和制造效率提升；汽车电子业务进一步改善则取决于智能座舱、智能驾驶、中央计算单元和新能源管理等较高技术含量产品的结构升级及收入占比提升，同时仍受整车厂采购议价和芯片、电子元件成本波动影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280.91亿元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同比下降7.43%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归母净利润7.39亿元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同比增长4.43%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611.83亿元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同比增长9.52%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归母净利润13.36亿元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同比增长39.08%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558.64亿元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归母净利润9.60亿元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2026年半年度报告于2026年8月26日披露，未经审计，是纪要中所述最新正式财报。2026年上半年扣非归母净利润为6.55亿元，同比下降7.15%；基本每股收益为0.48元，上年同期为0.51元；经营活动现金流量净额为19.34亿元，同比增长1.44%。</w:t>
      </w:r>
    </w:p>
    <w:p>
      <w:pPr>
        <w:spacing w:after="160" w:line="300"/>
      </w:pPr>
      <w:r>
        <w:rPr>
          <w:sz w:val="22"/>
          <w:szCs w:val="22"/>
        </w:rPr>
        <w:t xml:space="preserve">2026年上半年营业收入同比下降，主要受全球汽车产销量承压、中国和北美市场销量下降，以及香山股份处置衡器业务后相关收入不再并表影响。归母净利润同比增长，但扣非归母净利润同比下降，表明表观利润增长部分受到非经常性损益及公允价值变动等因素影响，核心经营利润表现弱于归母净利润。公司披露海外业务受益于全球化布局和降本增效，海外地区毛利率继续改善。2026年上半年综合毛利率约17.74%，较上年同期下降约0.41个百分点；加权平均净资产收益率为4.21%，较上年同期下降。期末归属于上市公司股东的净资产为161.16亿元，总资产约688.41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F10显示过去6个月内共有17家机构对均胜电子2026年度业绩作出预测。净利润和EPS为机构预测均值；营业收入未提供统一的多机构平均值，表中收入为不同机构预测区间，不能直接等同于市场一致预期。代表性机构预测包括：国海证券、国信证券、华泰证券及国联民生证券；中泰证券仅披露了归母净利润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未提供统一多机构均值；个别机构预测约609.66亿至676.49亿元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未明确披露统一预测增速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个别机构预测约648.56亿至737.06亿元，非统一多机构均值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未明确披露统一预测增速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个别机构预测约703.18亿至791.32亿元，非统一多机构均值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未明确披露统一预测增速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同花顺F10近6个月机构评级汇总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买入15家、增持3家、中性0家、减持0家、卖出0家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纪要未披露具体机构名单汇总之外的完整评级明细</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预测2026-2028年归母净利润15.52亿元、17.05亿元、21.11亿元；EPS约1.00元、1.10元、1.36元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预测2026-2028年归母净利润16.40亿元、20.06亿元、23.16亿元；EPS约1.06元、1.29元、1.49元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2026年8月27日及2026年9月10日更新</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目标价32.67元；预测2026-2028年归母净利润18.31亿元、21.39亿元、23.24亿元；目标价较此前38.98元下调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预测2026-2028年归母净利润17.7亿元、20.2亿元、22.7亿元；对应动态PE约17倍、15倍、13倍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预测2026-2028年归母净利润14.74亿元、20.03亿元、26.69亿元；公开摘要未明确披露A股目标价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未明确</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目标价约32.97元；预测主要基于汽车电子、汽车安全业务盈利改善及智能驾驶订单落地</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中财网收录近期研报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目标价22.26元；预计2026-2028年EPS为1.06元、1.29元、1.50元</w:t>
            </w:r>
          </w:p>
        </w:tc>
      </w:tr>
    </w:tbl>
    <w:p>
      <w:pPr>
        <w:spacing w:before="200"/>
      </w:pPr>
    </w:p>
    <w:p>
      <w:pPr>
        <w:spacing w:after="160" w:line="300"/>
      </w:pPr>
      <w:r>
        <w:rPr>
          <w:sz w:val="22"/>
          <w:szCs w:val="22"/>
        </w:rPr>
        <w:t xml:space="preserve">截至2026年9月11日收盘，公司股价为18.55元，当日涨跌幅为-3.18%，总股本约15.51亿股，对应总市值约287.8亿元。不同数据平台显示动态市盈率或TTM市盈率约20.7倍至21.1倍。按2026年机构预测均值EPS 1.13元计算，2026年前瞻PE约16.4倍；按2027年EPS 1.33元计算，前瞻PE约14.0倍；按2028年EPS 1.53元计算，前瞻PE约12.1倍。按2026年6月末归属于上市公司股东的净资产161.16亿元计算，PB约1.78倍至1.79倍；部分行情网站显示PB约1.25倍，存在估值口径差异。以净资产和总股本计算，每股净资产约10.39元，18.55元股价对应PB约1.79倍。近期公开可核实的A股目标价约为22.26元至32.97元，均高于2026年9月11日收盘价18.55元，但目标价差异较大，反映市场对汽车电子业务估值溢价、智能驾驶订单兑现速度及盈利恢复程度存在分歧。2026年上半年收入下降7.43%、扣非归母净利润下降7.15%，使盈利预测较依赖下半年收入恢复、毛利率稳定及海外业务改善。纪要称2026-2028年归母净利润按机构均值由17.46亿元增长至23.70亿元，三年利润复合增速约16.5%，当前估值与盈利增长预期大致匹配。美银证券18.50港元目标价适用于均胜电子H股00699.HK，不应与A股600699的人民币目标价混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半年度业绩说明会及新业务进展</w:t>
      </w:r>
    </w:p>
    <w:p>
      <w:pPr>
        <w:spacing w:after="160" w:line="300"/>
      </w:pPr>
      <w:r>
        <w:rPr>
          <w:sz w:val="22"/>
          <w:szCs w:val="22"/>
        </w:rPr>
        <w:t xml:space="preserve">公司于2026年9月4日召开2026年半年度业绩说明会，相关投资者关系活动记录表于2026年9月7日披露。公司表示已推出车载光通信解决方案，正在推进整车厂项目导入，并与国际主流整车厂商联合开发支持高阶智能网络和移动通信的网联产品。公司未披露具体客户名称、订单金额、量产时间或项目收入规模。公司还表示正在研发交流/直流电源转换单元、高功率直流/直流电源转换单元、全浸没式液冷电源机柜、冷液分配单元等AIDC相关产品，计划于2026年9月推出样品并推进市场导入；相关产品与控股子公司香山股份在技术验证、算力测试及客户导入方面存在协同可能。目前AIDC产品尚未披露已实现销售收入、正式量产订单或大客户定点。</w:t>
      </w:r>
    </w:p>
    <w:p>
      <w:pPr>
        <w:pStyle w:val="Heading2"/>
        <w:spacing w:after="120" w:before="240"/>
      </w:pPr>
      <w:r>
        <w:rPr>
          <w:b/>
          <w:bCs/>
          <w:color w:val="2E74B5"/>
          <w:sz w:val="24"/>
          <w:szCs w:val="24"/>
        </w:rPr>
        <w:t xml:space="preserve">4.2 汽车安全事业部引入战略投资者</w:t>
      </w:r>
    </w:p>
    <w:p>
      <w:pPr>
        <w:spacing w:after="160" w:line="300"/>
      </w:pPr>
      <w:r>
        <w:rPr>
          <w:sz w:val="22"/>
          <w:szCs w:val="22"/>
        </w:rPr>
        <w:t xml:space="preserve">公司于2026年8月14日披露相关公告。兴银金融资产投资有限公司拟向安徽均胜汽车安全系统控股有限公司增资5亿元，增资完成后持股约2.1459%；中邮金融资产投资有限公司拟增资10亿元，增资完成后持股约4.2918%。两家战略投资者合计投入15亿元，合计取得安徽均胜安全约6.4377%股权。交易完成后，均胜电子对安徽均胜安全的持股比例由61.6372%降至57.6691%，安徽均胜安全仍为公司控股子公司并纳入合并报表范围。增资资金主要用于偿还股东借款，并由均胜电子偿还存量银行贷款，以降低负债规模和财务费用。公司表示该交易不构成关联交易或重大资产重组，无需提交股东会审议。公告未披露该交易对公司当期净利润的直接影响金额，未设置业绩对赌条款。</w:t>
      </w:r>
    </w:p>
    <w:p>
      <w:pPr>
        <w:pStyle w:val="Heading2"/>
        <w:spacing w:after="120" w:before="240"/>
      </w:pPr>
      <w:r>
        <w:rPr>
          <w:b/>
          <w:bCs/>
          <w:color w:val="2E74B5"/>
          <w:sz w:val="24"/>
          <w:szCs w:val="24"/>
        </w:rPr>
        <w:t xml:space="preserve">4.3 H股回购进展及A股股份情况</w:t>
      </w:r>
    </w:p>
    <w:p>
      <w:pPr>
        <w:spacing w:after="160" w:line="300"/>
      </w:pPr>
      <w:r>
        <w:rPr>
          <w:sz w:val="22"/>
          <w:szCs w:val="22"/>
        </w:rPr>
        <w:t xml:space="preserve">公司披露的截至2026年8月31日证券变动月报表显示，2026年8月26日回购H股400,000股，回购价格为每股12.1662港元；2026年8月27日回购H股454,500股，回购价格为每股12.3227港元；当月合计回购H股854,500股，全部作为库存股份持有。截至2026年8月31日，H股库存股份由5,335,500股增加至6,190,000股，不含库存股的H股已发行股份由149,764,500股减少至148,910,000股，H股总发行股份数量仍为155,100,000股。同期A股注册股份数为1,395,670,563股，A股库存股份为12,664,015股，A股已发行股份总数为1,395,670,563股，A股股份数量没有变化。因此，本次回购属于H股回购，不应计入A股600699回购数量。</w:t>
      </w:r>
    </w:p>
    <w:p>
      <w:pPr>
        <w:pStyle w:val="Heading2"/>
        <w:spacing w:after="120" w:before="240"/>
      </w:pPr>
      <w:r>
        <w:rPr>
          <w:b/>
          <w:bCs/>
          <w:color w:val="2E74B5"/>
          <w:sz w:val="24"/>
          <w:szCs w:val="24"/>
        </w:rPr>
        <w:t xml:space="preserve">4.4 A股回购计划及分红安排</w:t>
      </w:r>
    </w:p>
    <w:p>
      <w:pPr>
        <w:spacing w:after="160" w:line="300"/>
      </w:pPr>
      <w:r>
        <w:rPr>
          <w:sz w:val="22"/>
          <w:szCs w:val="22"/>
        </w:rPr>
        <w:t xml:space="preserve">公司在投资者关系活动中表示，H股回购仍在持续；对于A股，如有回购计划，将依法履行决策和信息披露程序。截至2026年9月14日，未检索到公司已经启动新的A股回购计划的公告。研究纪要未提供本次投资者关系活动中有关具体分红方案的公告或金额信息。</w:t>
      </w:r>
    </w:p>
    <w:p>
      <w:pPr>
        <w:pStyle w:val="Heading2"/>
        <w:spacing w:after="120" w:before="240"/>
      </w:pPr>
      <w:r>
        <w:rPr>
          <w:b/>
          <w:bCs/>
          <w:color w:val="2E74B5"/>
          <w:sz w:val="24"/>
          <w:szCs w:val="24"/>
        </w:rPr>
        <w:t xml:space="preserve">4.5 认购香山股份定向增发</w:t>
      </w:r>
    </w:p>
    <w:p>
      <w:pPr>
        <w:spacing w:after="160" w:line="300"/>
      </w:pPr>
      <w:r>
        <w:rPr>
          <w:sz w:val="22"/>
          <w:szCs w:val="22"/>
        </w:rPr>
        <w:t xml:space="preserve">公司于2026年8月11日披露参与认购控股子公司广东香山衡器集团股份有限公司向特定对象发行股票的进展公告。均胜电子已使用自有资金约6.45亿元参与认购，认购股份数量为20,682,711股，锁定期为三年。新增股份已于2026年7月31日完成登记，并计划于2026年8月12日在深圳证券交易所上市。发行完成后，均胜电子持有香山股份60,304,311股，持股比例增至39.48%，仍为香山股份控股股东。该事项属于对子公司的资本支持及控股权巩固，不属于上市公司对外并购；后续收益取决于香山股份经营表现及业务协同能否兑现。</w:t>
      </w:r>
    </w:p>
    <w:p>
      <w:pPr>
        <w:pStyle w:val="Heading2"/>
        <w:spacing w:after="120" w:before="240"/>
      </w:pPr>
      <w:r>
        <w:rPr>
          <w:b/>
          <w:bCs/>
          <w:color w:val="2E74B5"/>
          <w:sz w:val="24"/>
          <w:szCs w:val="24"/>
        </w:rPr>
        <w:t xml:space="preserve">4.6 2026年半年度报告及业务计划</w:t>
      </w:r>
    </w:p>
    <w:p>
      <w:pPr>
        <w:spacing w:after="160" w:line="300"/>
      </w:pPr>
      <w:r>
        <w:rPr>
          <w:sz w:val="22"/>
          <w:szCs w:val="22"/>
        </w:rPr>
        <w:t xml:space="preserve">公司于2026年8月26日披露2026年半年度报告、半年度报告摘要、董事会决议、会计政策变更公告、对子公司担保进展公告及“提质增效重回报”行动方案半年度评估报告等文件。公司继续向车载光通信、机器人、AIDC电源、液冷和eVTOL等新业务拓展。AIDC产品仍处于研发、样品及客户导入阶段，尚未形成已确认的大规模商业收入。半年度报告中的未来业务计划属于前瞻性陈述，公司已提示相关内容不构成对投资者的实质承诺，实际进度可能受到客户验证、项目定点、量产进程及行业需求变化影响。</w:t>
      </w:r>
    </w:p>
    <w:p>
      <w:pPr>
        <w:pStyle w:val="Heading2"/>
        <w:spacing w:after="120" w:before="240"/>
      </w:pPr>
      <w:r>
        <w:rPr>
          <w:b/>
          <w:bCs/>
          <w:color w:val="2E74B5"/>
          <w:sz w:val="24"/>
          <w:szCs w:val="24"/>
        </w:rPr>
        <w:t xml:space="preserve">4.7 实际控制人增持及近期股东动态</w:t>
      </w:r>
    </w:p>
    <w:p>
      <w:pPr>
        <w:spacing w:after="160" w:line="300"/>
      </w:pPr>
      <w:r>
        <w:rPr>
          <w:sz w:val="22"/>
          <w:szCs w:val="22"/>
        </w:rPr>
        <w:t xml:space="preserve">2026年6月12日，公司实际控制人、董事长王剑峰通过上海证券交易所集中竞价增持A股270,000股，成交均价约24.0014元/股，增持金额约648.04万元，占公司总股本约0.0174%。本次增持未导致控股股东或实际控制人发生变化。截至2026年9月14日，在2026年9月最新公告列表中，暂未检索到公司控股股东或董事、高级管理人员于2026年9月新增A股增持或减持公告；公开网页公告列表可能存在披露延迟，最终应以上交所及公司公告为准。</w:t>
      </w:r>
    </w:p>
    <w:p>
      <w:pPr>
        <w:pStyle w:val="Heading2"/>
        <w:spacing w:after="120" w:before="240"/>
      </w:pPr>
      <w:r>
        <w:rPr>
          <w:b/>
          <w:bCs/>
          <w:color w:val="2E74B5"/>
          <w:sz w:val="24"/>
          <w:szCs w:val="24"/>
        </w:rPr>
        <w:t xml:space="preserve">4.8 业绩预告及监管事项检索结果</w:t>
      </w:r>
    </w:p>
    <w:p>
      <w:pPr>
        <w:spacing w:after="160" w:line="300"/>
      </w:pPr>
      <w:r>
        <w:rPr>
          <w:sz w:val="22"/>
          <w:szCs w:val="22"/>
        </w:rPr>
        <w:t xml:space="preserve">截至2026年9月14日，未检索到均胜电子针对2026年前三季度发布明确的业绩预告、业绩预增或业绩预减公告。公司最近一次重要定期报告为2026年半年度报告，披露日期为2026年8月26日。在本次检索到的公司公告、上交所公告索引及主要公告数据库中，未发现2026年8月至9月公司收到监管立案、行政处罚、交易所纪律处分或重大监管问询的公告。上述监管事项结论属于基于公开公告检索后的“未发现”，不等同于绝对不存在相关事项。</w:t>
      </w:r>
    </w:p>
    <w:p>
      <w:pPr>
        <w:pStyle w:val="Heading2"/>
        <w:spacing w:after="120" w:before="240"/>
      </w:pPr>
      <w:r>
        <w:rPr>
          <w:b/>
          <w:bCs/>
          <w:color w:val="2E74B5"/>
          <w:sz w:val="24"/>
          <w:szCs w:val="24"/>
        </w:rPr>
        <w:t xml:space="preserve">4.9 近期消息综合判断及风险提示</w:t>
      </w:r>
    </w:p>
    <w:p>
      <w:pPr>
        <w:spacing w:after="160" w:line="300"/>
      </w:pPr>
      <w:r>
        <w:rPr>
          <w:sz w:val="22"/>
          <w:szCs w:val="22"/>
        </w:rPr>
        <w:t xml:space="preserve">截至2026年9月14日，公司近期消息主要集中于四条主线：一是汽车安全事业部引入合计15亿元战略投资，资金主要用于偿还股东借款和银行贷款，目标是优化资本结构、降低杠杆和财务费用；二是公司回购H股85.45万股，但A股600699同期股份数量没有变化，暂不能视为A股回购催化；三是车载光通信、AIDC电源、液冷、机器人及eVTOL等新业务处于研发、样品、验证或客户导入阶段，短期业绩贡献尚不确定；四是公司以约6.45亿元认购香山股份定向增发，认购完成后持股比例增至39.48%，继续保持控股地位。主要不确定性包括新业务尚缺乏明确订单金额、客户名称、量产时间和利润贡献数据；战略投资者增资的完成进度及少数股东权益变化；H股回购不直接减少A股600699股份数量；部分投资者关系信息来自媒体对路演问答的整理，涉及AIDC客户、半固态电池、eVTOL等进展应以公司原始投资者关系记录及后续正式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均胜电子（600699）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18.55元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-0.61元/-3.18%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日内高低价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最高18.97元，最低18.25元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约4.90亿元；另一行情源约4.895亿元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约264.30万手；另一来源约3000万股，统计口径存在差异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约1.89%~1.90%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总市值约287.7亿元，流通市值约267.4亿元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高点39.98元，低点约18.25~18.68元；不同平台口径存在差异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短期及中期均线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10日均线19.452元，20日均线19.600元，50日均线20.362元；自行估算MA5约19.45元、MA10约19.41元、MA20约19.49元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收盘价18.55元低于主要均线，短期均线密集区约19.4~19.6元，中期均线压力约20.3元附近，呈现短线偏弱、长周期仍弱的结构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250日均线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约26.514元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收盘价明显低于长期均线，长周期趋势仍偏弱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2026年9月8日页面披露约0.21；截至9月11日的同步DIFF、DEA及柱体数值缺失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9月8日指标不能直接代表9月11日收盘后的状态；结合9月9日至11日连续下跌，短线动能大概率弱化，但最新MACD数值未完成交叉验证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2026年9月8日RSI(14)为约63.86；基于9月11日前收盘价的简化估算为RSI6约33、RSI14约35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9月8日数据已不适合作为9月11日最新指标；简化估算显示短线动能明显转弱并接近弱势区，但不足以单独确认趋势反转或绝对超卖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基于近20个交易日收盘价估算：中轨约19.49元，上轨约20.7~20.8元，下轨约18.2~18.3元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收盘价接近估算下轨，日内最低价18.25元也接近下轨；若下轨附近缩量企稳，可能出现技术性反弹，若放量跌破18.2元附近，弱势可能延续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9月11日超大单净流出2432.50万元、大单净流出2512.46万元，合计净流出约4945万元；中单净流入1064.22万元，小单净流入3880.74万元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9月7日至8日超大单、大单净流入，9月9日至11日连续净流出，短线资金面偏负；该数据按成交单大小划分，不代表实际机构身份或真实持仓变化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最近五个交易日成交额约4.45亿~9.83亿元，均值约6.2亿元；9月11日换手率约1.89%~1.90%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9月8日上涨时成交额放大至9.83亿元，但随后成交额回落、股价连续走弱，说明上攻资金持续性不足；当前更偏向存量资金博弈</w:t>
            </w:r>
          </w:p>
        </w:tc>
      </w:tr>
    </w:tbl>
    <w:p>
      <w:pPr>
        <w:spacing w:before="200"/>
      </w:pPr>
    </w:p>
    <w:p>
      <w:pPr>
        <w:spacing w:after="160" w:line="300"/>
      </w:pPr>
      <w:r>
        <w:rPr>
          <w:sz w:val="22"/>
          <w:szCs w:val="22"/>
        </w:rPr>
        <w:t xml:space="preserve">截至2026年9月11日，均胜电子收盘于18.55元，接近不同数据源显示的52周低点18.25~18.68元区间，且低于10日、20日、50日及250日均线。短期均线密集区位于19.4~19.6元，20.0~20.4元为进一步压力观察区；布林带估算下轨约18.2~18.3元，股价处于弱势区间边缘。9月9日至11日连续下跌，9月11日超大单与大单合计净流出约4945万元，短期资金面偏弱。RSI简化估算约处于33~35，显示短线动能转弱，但尚不足以单独确认反转。整体看，当前技术结构偏弱，后续观察重点在18.25~18.7元支撑区能否企稳，以及能否重新收复19.4~19.6元并获得成交额和资金流向配合。</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19.4~19.7元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对应10日、20日均线密集区及近期收盘区域。若不能重新站回该区间，反弹更偏向弱势修复；若有效收复，可进一步观察20.0~20.4元压力区。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18.25~18.7元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对应9月11日最低价18.25元、8月25日低点18.68元及不同平台显示的52周低点区间。若有效跌破18.25元，可能打开向更低支撑区域寻找平衡的空间。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强支撑/下一支撑观察区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17.2~18.0元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该区间仅为跌破18.25元后的下一支撑观察范围，纪要未提供已确认的历史强支撑数据，具体支撑有效性存在不确定性；其中17.24元为按18.55元计算的当日跌停参考价，不等同于技术支撑位。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形态和资金流向的主观启发式判断，不是统计概率）：价格观察区间为18.25~19.5元。触发条件包括18.25~18.7元区域止跌、成交额维持在4亿~6亿元附近且没有明显放量杀跌、主力资金净流出幅度收窄，并逐步收复19.0元但尚未有效突破19.5元。</w:t>
      </w:r>
    </w:p>
    <w:p>
      <w:pPr>
        <w:pStyle w:val="ListParagraph"/>
        <w:numPr>
          <w:ilvl w:val="0"/>
          <w:numId w:val="2"/>
        </w:numPr>
        <w:spacing w:after="80" w:line="280"/>
      </w:pPr>
      <w:r>
        <w:rPr>
          <w:sz w:val="22"/>
          <w:szCs w:val="22"/>
        </w:rPr>
        <w:t xml:space="preserve">偏弱下行（权重中等；为主观情景权重，不是统计概率）：若收盘价有效跌破18.25元，且单日成交额明显超过近期均值、超大单与大单继续净流出，同时汽车零部件板块走弱或市场风险偏好下降，价格可能向17.2~18.0元区域寻找新的平衡。</w:t>
      </w:r>
    </w:p>
    <w:p>
      <w:pPr>
        <w:pStyle w:val="ListParagraph"/>
        <w:numPr>
          <w:ilvl w:val="0"/>
          <w:numId w:val="2"/>
        </w:numPr>
        <w:spacing w:after="80" w:line="280"/>
      </w:pPr>
      <w:r>
        <w:rPr>
          <w:sz w:val="22"/>
          <w:szCs w:val="22"/>
        </w:rPr>
        <w:t xml:space="preserve">反弹走强（权重偏低至中等；为主观情景权重，不是统计概率）：若股价重新站上19.4~19.6元均线密集区，单日成交额回升至7.5亿~8亿元以上，超大单与大单由连续净流出转为净流入，且汽车零部件、智能驾驶或机器人相关主题同步走强，则可观察20.0~20.4元区域的反弹修复空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1.89%~1.90%，最近五个交易日成交额约4.45亿~9.83亿元，整体处于中低水平。9月8日成交额曾放大至9.83亿元，但随后回落，股价连续走弱，显示上攻资金未能持续。股东结构方面，截至2026年6月30日，前十大流通股东合计持股约占流通盘51.4%，已披露持仓机构合计约占流通A股45.55%；其中其他机构约占41.53%、基金约占3.65%、QFII约占0.23%，陆股通持股约占流通A股5.66%。上述股东户数、集中度及机构持仓数据均截至2026年6月30日，存在季度滞后，且6月末后股价经历较大波动，实际筹码结构可能已经变化，不能直接等同于2026年9月11日的实时持仓结构。当前股票并非极低流动性小盘股，但短期成交额处于中低水平且资金流向偏负，若缺乏成交量配合，单纯低位价格未必足以形成持续反弹；出现大单集中成交时，价格弹性可能增强。</w:t>
      </w:r>
    </w:p>
    <w:p>
      <w:pPr>
        <w:spacing w:after="160" w:line="300"/>
      </w:pPr>
      <w:r>
        <w:rPr>
          <w:sz w:val="22"/>
          <w:szCs w:val="22"/>
        </w:rPr>
        <w:t xml:space="preserve">可检查的量能确认信号：若股价重新站回19.4~19.6元，同时单日成交额连续放大至7.5亿~8亿元以上，并且超大单与大单合计转为净流入，可视为短线资金参与度改善的观察信号；若放量但股价仍无法收复19.4元，则需关注放量滞涨或资金借反弹减仓的可能。</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观察18.25~18.7元支撑区是否出现缩量企稳，观察思路，非操作指令。</w:t>
      </w:r>
    </w:p>
    <w:p>
      <w:pPr>
        <w:pStyle w:val="ListParagraph"/>
        <w:numPr>
          <w:ilvl w:val="0"/>
          <w:numId w:val="2"/>
        </w:numPr>
        <w:spacing w:after="80" w:line="280"/>
      </w:pPr>
      <w:r>
        <w:rPr>
          <w:sz w:val="22"/>
          <w:szCs w:val="22"/>
        </w:rPr>
        <w:t xml:space="preserve">观察19.4~19.6元均线密集区能否重新收复，并留意20.0~20.4元进一步压力区，观察思路，非操作指令。</w:t>
      </w:r>
    </w:p>
    <w:p>
      <w:pPr>
        <w:pStyle w:val="ListParagraph"/>
        <w:numPr>
          <w:ilvl w:val="0"/>
          <w:numId w:val="2"/>
        </w:numPr>
        <w:spacing w:after="80" w:line="280"/>
      </w:pPr>
      <w:r>
        <w:rPr>
          <w:sz w:val="22"/>
          <w:szCs w:val="22"/>
        </w:rPr>
        <w:t xml:space="preserve">观察单日成交额能否持续达到7.5亿~8亿元以上并与价格突破同步，观察思路，非操作指令。</w:t>
      </w:r>
    </w:p>
    <w:p>
      <w:pPr>
        <w:pStyle w:val="ListParagraph"/>
        <w:numPr>
          <w:ilvl w:val="0"/>
          <w:numId w:val="2"/>
        </w:numPr>
        <w:spacing w:after="80" w:line="280"/>
      </w:pPr>
      <w:r>
        <w:rPr>
          <w:sz w:val="22"/>
          <w:szCs w:val="22"/>
        </w:rPr>
        <w:t xml:space="preserve">观察超大单与大单是否结束连续净流出；股东集中度数据截至2026年6月30日并存在滞后，不宜直接替代实时筹码判断，观察思路，非操作指令。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均胜电子所在的汽车零部件行业具有较高的客户认证、法规、质量、研发和规模壁垒。汽车被动安全市场由少数全球大型供应商主导；汽车电子则由传统功能件竞争逐步转向智能座舱、智能驾驶、中央计算、车载软件、车联网、新能源管理和软硬件协同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汽车被动安全行业全球集中度较高，竞争主要围绕安全带、安全气囊、方向盘、集成式乘员保护系统展开，市场需求受全球轻型车产量和单车安全配置价值量驱动。</w:t>
      </w:r>
    </w:p>
    <w:p>
      <w:pPr>
        <w:pStyle w:val="ListParagraph"/>
        <w:numPr>
          <w:ilvl w:val="0"/>
          <w:numId w:val="2"/>
        </w:numPr>
        <w:spacing w:after="80" w:line="280"/>
      </w:pPr>
      <w:r>
        <w:rPr>
          <w:sz w:val="22"/>
          <w:szCs w:val="22"/>
        </w:rPr>
        <w:t xml:space="preserve">主要全球竞争者包括奥托立夫、均胜汽车安全系统和ZF LIFETEC；日本及中国区域供应商主要在安全带、方向盘、气囊及细分零部件领域参与竞争。</w:t>
      </w:r>
    </w:p>
    <w:p>
      <w:pPr>
        <w:pStyle w:val="ListParagraph"/>
        <w:numPr>
          <w:ilvl w:val="0"/>
          <w:numId w:val="2"/>
        </w:numPr>
        <w:spacing w:after="80" w:line="280"/>
      </w:pPr>
      <w:r>
        <w:rPr>
          <w:sz w:val="22"/>
          <w:szCs w:val="22"/>
        </w:rPr>
        <w:t xml:space="preserve">汽车电子行业竞争焦点包括智能座舱域控制器、智能驾驶域控制器、中央计算平台、车载操作系统和软件、车联网与通信模块、新能源管理及功率电子，以及功能安全和网络安全。</w:t>
      </w:r>
    </w:p>
    <w:p>
      <w:pPr>
        <w:pStyle w:val="ListParagraph"/>
        <w:numPr>
          <w:ilvl w:val="0"/>
          <w:numId w:val="2"/>
        </w:numPr>
        <w:spacing w:after="80" w:line="280"/>
      </w:pPr>
      <w:r>
        <w:rPr>
          <w:sz w:val="22"/>
          <w:szCs w:val="22"/>
        </w:rPr>
        <w:t xml:space="preserve">全球汽车电子竞争者包括博世、采埃孚、大陆、法雷奥、FORVIA等；中国企业包括均胜电子、德赛西威、华域汽车、华阳集团、科博达等。</w:t>
      </w:r>
    </w:p>
    <w:p>
      <w:pPr>
        <w:pStyle w:val="ListParagraph"/>
        <w:numPr>
          <w:ilvl w:val="0"/>
          <w:numId w:val="2"/>
        </w:numPr>
        <w:spacing w:after="80" w:line="280"/>
      </w:pPr>
      <w:r>
        <w:rPr>
          <w:sz w:val="22"/>
          <w:szCs w:val="22"/>
        </w:rPr>
        <w:t xml:space="preserve">均胜电子同时拥有较大规模汽车安全业务和全球制造网络，汽车电子业务则布局智能座舱、智能驾驶、智能网联和新能源管理等成长方向；相关高级智能化产品订单和项目规划不等同于已确认营业收入。</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奥托立夫Autoliv</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全球被动安全龙头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重点产品包括安全带、安全气囊、方向盘及乘员保护系统，是均胜汽车安全业务的直接全球竞争者。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ZF LIFETEC</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全球被动安全供应商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覆盖安全气囊、气体发生器、方向盘和安全带系统；2023年相关业务销售额约46亿欧元，核心产品市场份额超过20%。</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德赛西威（002920）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国内汽车电子Tier 1</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重点聚焦智能座舱、智能驾驶和智能网联，产品包括域控制器、摄像头、毫米波雷达、智能天线和软件服务；与均胜电子汽车电子业务可比性较强。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华域汽车（600741）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综合型汽车零部件供应商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业务覆盖汽车电子、车身及内外饰、底盘、动力总成及汽车零部件系统，依托上汽集团及国内整车产业链，国内客户资源较强。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FORVIA</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全球化汽车零部件集团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电子业务覆盖传感器和执行器、自动驾驶、车身及照明、能源管理、座舱、HMI/显示和软件，与均胜电子汽车电子业务存在较多重合；其业务范围更广。</w:t>
            </w:r>
          </w:p>
        </w:tc>
      </w:tr>
    </w:tbl>
    <w:p>
      <w:pPr>
        <w:spacing w:before="200"/>
      </w:pPr>
    </w:p>
    <w:p>
      <w:pPr>
        <w:spacing w:after="160" w:line="300"/>
      </w:pPr>
      <w:r>
        <w:rPr>
          <w:sz w:val="22"/>
          <w:szCs w:val="22"/>
        </w:rPr>
        <w:t xml:space="preserve">均胜电子与奥托立夫、ZF LIFETEC的主要竞争集中在汽车安全系统；与德赛西威的可比性主要在智能座舱、智能驾驶、智能网联和域控制器；与华域汽车相比，均胜电子在全球汽车安全和海外客户配套方面更突出，而华域汽车更偏重中国本土整车体系及综合零部件配套；与FORVIA相比，双方均布局汽车电子、座舱、自动驾驶和能源管理，但均胜电子的汽车被动安全业务权重更高。</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汽车市场及客户集中度风险：2025年前五大客户销售额占公司年度销售总额49%，若主要整车厂销量下降、车型项目延期、采购份额调整或持续要求年度降价，可能对公司收入和利润造成较大影响。</w:t>
      </w:r>
    </w:p>
    <w:p>
      <w:pPr>
        <w:pStyle w:val="ListParagraph"/>
        <w:numPr>
          <w:ilvl w:val="0"/>
          <w:numId w:val="2"/>
        </w:numPr>
        <w:spacing w:after="80" w:line="280"/>
      </w:pPr>
      <w:r>
        <w:rPr>
          <w:sz w:val="22"/>
          <w:szCs w:val="22"/>
        </w:rPr>
        <w:t xml:space="preserve">汽车电子供应链与成本风险：2025年汽车电子系统成本中原材料占比约85.51%，公司对车规级芯片、电子元件、PCB、连接器和传感器等物料价格及供应稳定性较敏感；合并口径前五大供应商占比虽仅约7%，但无法排除关键芯片或特殊电子元件的单点供应风险。</w:t>
      </w:r>
    </w:p>
    <w:p>
      <w:pPr>
        <w:pStyle w:val="ListParagraph"/>
        <w:numPr>
          <w:ilvl w:val="0"/>
          <w:numId w:val="2"/>
        </w:numPr>
        <w:spacing w:after="80" w:line="280"/>
      </w:pPr>
      <w:r>
        <w:rPr>
          <w:sz w:val="22"/>
          <w:szCs w:val="22"/>
        </w:rPr>
        <w:t xml:space="preserve">2026年核心经营承压风险：2026年上半年营业收入同比下降7.43%，扣非归母净利润同比下降7.15%，综合毛利率约17.74%，较上年同期下降约0.41个百分点；若下半年收入恢复或海外业务改善不及预期，机构盈利预测可能面临下调。</w:t>
      </w:r>
    </w:p>
    <w:p>
      <w:pPr>
        <w:pStyle w:val="ListParagraph"/>
        <w:numPr>
          <w:ilvl w:val="0"/>
          <w:numId w:val="2"/>
        </w:numPr>
        <w:spacing w:after="80" w:line="280"/>
      </w:pPr>
      <w:r>
        <w:rPr>
          <w:sz w:val="22"/>
          <w:szCs w:val="22"/>
        </w:rPr>
        <w:t xml:space="preserve">全球化经营与海外整合风险：公司业务覆盖亚洲、欧洲和北美，且正在推进高成本地区产能转移、工厂关停和区域经营调整；德国阿沙芬堡工厂、罗马尼亚周边卫星工厂及美洲部分工厂的关闭或整合若产生执行成本、客户切换或供应中断，可能影响交付与盈利。</w:t>
      </w:r>
    </w:p>
    <w:p>
      <w:pPr>
        <w:pStyle w:val="ListParagraph"/>
        <w:numPr>
          <w:ilvl w:val="0"/>
          <w:numId w:val="2"/>
        </w:numPr>
        <w:spacing w:after="80" w:line="280"/>
      </w:pPr>
      <w:r>
        <w:rPr>
          <w:sz w:val="22"/>
          <w:szCs w:val="22"/>
        </w:rPr>
        <w:t xml:space="preserve">新业务商业化风险：车载光通信、AIDC电源、液冷、机器人及eVTOL等业务目前处于研发、样品、验证或客户导入阶段，尚未披露明确客户名称、订单金额、量产时间或已实现销售收入，存在客户验证不通过、项目定点延迟及收入贡献低于预期的风险。</w:t>
      </w:r>
    </w:p>
    <w:p>
      <w:pPr>
        <w:pStyle w:val="ListParagraph"/>
        <w:numPr>
          <w:ilvl w:val="0"/>
          <w:numId w:val="2"/>
        </w:numPr>
        <w:spacing w:after="80" w:line="280"/>
      </w:pPr>
      <w:r>
        <w:rPr>
          <w:sz w:val="22"/>
          <w:szCs w:val="22"/>
        </w:rPr>
        <w:t xml:space="preserve">资本运作与资金占用风险：公司以约6.45亿元自有资金认购香山股份定向增发，锁定期为三年，后续收益取决于香山股份经营表现及协同兑现；同时应收票据及应收账款2025年末约92.08亿元，大型整车厂付款周期和供应链金融安排仍可能形成资金占用。</w:t>
      </w:r>
    </w:p>
    <w:p>
      <w:pPr>
        <w:pStyle w:val="ListParagraph"/>
        <w:numPr>
          <w:ilvl w:val="0"/>
          <w:numId w:val="2"/>
        </w:numPr>
        <w:spacing w:after="80" w:line="280"/>
      </w:pPr>
      <w:r>
        <w:rPr>
          <w:sz w:val="22"/>
          <w:szCs w:val="22"/>
        </w:rPr>
        <w:t xml:space="preserve">盈利预测与估值兑现风险：2026年至2028年机构预测归母净利润均值为17.46亿元、20.61亿元和23.70亿元，但2026年上半年扣非利润已同比下降，且收入预测并非统一多机构均值；若智能驾驶订单、汽车电子结构升级或海外盈利修复低于预期，当前估值所隐含的利润增长可能难以兑现。</w:t>
      </w:r>
    </w:p>
    <w:p>
      <w:pPr>
        <w:pStyle w:val="ListParagraph"/>
        <w:numPr>
          <w:ilvl w:val="0"/>
          <w:numId w:val="2"/>
        </w:numPr>
        <w:spacing w:after="80" w:line="280"/>
      </w:pPr>
      <w:r>
        <w:rPr>
          <w:sz w:val="22"/>
          <w:szCs w:val="22"/>
        </w:rPr>
        <w:t xml:space="preserve">股价与流动性风险：截至2026年9月11日股价低于主要均线，9月9日至11日连续走弱，超大单与大单合计净流出约4945万元；若18.25元附近支撑失效且伴随放量下跌，技术弱势可能延续，近期中低成交额也可能放大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增长逻辑主要由两部分构成：一是汽车安全业务通过原材料降本、海外产能精简、工厂整合和制造效率提升实现盈利修复；二是汽车电子向智能座舱、智能驾驶、中央计算、车联网及新能源管理等高技术含量产品延伸。经营现金流方面，2025年经营活动现金流量净额约53.98亿元，明显高于归母净利润，整体现金回收能力较好；战略投资者增资也有助于优化汽车安全业务资本结构。</w:t>
      </w:r>
    </w:p>
    <w:p>
      <w:pPr>
        <w:spacing w:after="160" w:line="300"/>
      </w:pPr>
      <w:r>
        <w:rPr>
          <w:sz w:val="22"/>
          <w:szCs w:val="22"/>
        </w:rPr>
        <w:t xml:space="preserve">不过，2026年上半年收入及扣非利润同比下滑，说明业绩恢复仍处于验证阶段。前五大客户销售额占比由2024年的48%升至2025年的49%，整车厂年度降价、客户集中度及项目制投入可能持续压制盈利弹性；汽车电子业务对芯片、电子元件和PCB等物料价格及供应稳定性较敏感。新业务目前尚未形成可核实的规模化收入，机构盈利预测和估值判断因此对项目定点、客户验证、量产节奏及下半年经营恢复较为敏感。</w:t>
      </w:r>
    </w:p>
    <w:p>
      <w:pPr>
        <w:spacing w:after="160" w:line="300"/>
      </w:pPr>
      <w:r>
        <w:rPr>
          <w:sz w:val="22"/>
          <w:szCs w:val="22"/>
        </w:rPr>
        <w:t xml:space="preserve">技术层面上，股价能否在18.25~18.7元附近企稳，以及能否重新收复19.4~19.6元均线密集区并获得成交量和大单资金配合，是后续观察重点。当前H股回购不改变A股600699股份数量，也不能直接作为A股回购催化；公司未来表现仍需结合主营业务盈利、海外整合效果、汽车电子订单兑现和新业务商业化进展综合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均胜电子(600699)_公司公告_均胜电子：2026年半年度报告新浪财经_新浪网 — https://money.finance.sina.com.cn/corp/view/vCB_AllBulletinDetail.php?id=12538201&amp;stockid=600699&amp;utm_source=openai</w:t>
      </w:r>
    </w:p>
    <w:p>
      <w:pPr>
        <w:spacing w:after="200"/>
      </w:pPr>
      <w:r>
        <w:rPr>
          <w:i/>
          <w:iCs/>
          <w:color w:val="595959"/>
          <w:sz w:val="18"/>
          <w:szCs w:val="18"/>
        </w:rPr>
        <w:t xml:space="preserve">均胜电子(600699)_公司公告_均胜电子：2025年年度报告新浪财经_新浪网 — https://money.finance.sina.com.cn/corp/view/vCB_AllBulletinDetail.php?id=12040243&amp;stockid=600699&amp;utm_source=openai</w:t>
      </w:r>
    </w:p>
    <w:p>
      <w:pPr>
        <w:spacing w:after="200"/>
      </w:pPr>
      <w:r>
        <w:rPr>
          <w:i/>
          <w:iCs/>
          <w:color w:val="595959"/>
          <w:sz w:val="18"/>
          <w:szCs w:val="18"/>
        </w:rPr>
        <w:t xml:space="preserve">均胜电子(600699) 盈利预测_F10_同花顺金融服务网 — https://basic.10jqka.com.cn/600699/worth.html?utm_source=openai</w:t>
      </w:r>
    </w:p>
    <w:p>
      <w:pPr>
        <w:spacing w:after="200"/>
      </w:pPr>
      <w:r>
        <w:rPr>
          <w:i/>
          <w:iCs/>
          <w:color w:val="595959"/>
          <w:sz w:val="18"/>
          <w:szCs w:val="18"/>
        </w:rPr>
        <w:t xml:space="preserve">盈利预测 — https://webf10.gw.com.cn/SH/B16/SH600699_B16.html?utm_source=openai</w:t>
      </w:r>
    </w:p>
    <w:p>
      <w:pPr>
        <w:spacing w:after="200"/>
      </w:pPr>
      <w:r>
        <w:rPr>
          <w:i/>
          <w:iCs/>
          <w:color w:val="595959"/>
          <w:sz w:val="18"/>
          <w:szCs w:val="18"/>
        </w:rPr>
        <w:t xml:space="preserve">毛利率韧性较强，机器人等新兴业务布局加速——均胜电子2026年中报点评 - 中泰证券 ｜ 发现报告 — https://www.fxbaogao.com/detail/5663284?utm_source=openai</w:t>
      </w:r>
    </w:p>
    <w:p>
      <w:pPr>
        <w:spacing w:after="200"/>
      </w:pPr>
      <w:r>
        <w:rPr>
          <w:i/>
          <w:iCs/>
          <w:color w:val="595959"/>
          <w:sz w:val="18"/>
          <w:szCs w:val="18"/>
        </w:rPr>
        <w:t xml:space="preserve">均胜电子（600699.SH）系列点评七：2026Q2盈利承压 全球化布局加速 - 国联民生证券 ｜ 发现报告 — https://www.fxbaogao.com/detail/5644587?utm_source=openai</w:t>
      </w:r>
    </w:p>
    <w:p>
      <w:pPr>
        <w:spacing w:after="200"/>
      </w:pPr>
      <w:r>
        <w:rPr>
          <w:i/>
          <w:iCs/>
          <w:color w:val="595959"/>
          <w:sz w:val="18"/>
          <w:szCs w:val="18"/>
        </w:rPr>
        <w:t xml:space="preserve">均胜电子的前世今生：王剑峰掌舵下汽车电子与安全双业务领跑，2025营收611.83亿行业居首，研报看涨目标价38.98元|均胜电子_新浪财经_新浪网 — https://finance.sina.com.cn/stock/aiassist/agqsjs/2026-04-29/doc-inhweskv0822806.shtml?utm_source=openai</w:t>
      </w:r>
    </w:p>
    <w:p>
      <w:pPr>
        <w:spacing w:after="200"/>
      </w:pPr>
      <w:r>
        <w:rPr>
          <w:i/>
          <w:iCs/>
          <w:color w:val="595959"/>
          <w:sz w:val="18"/>
          <w:szCs w:val="18"/>
        </w:rPr>
        <w:t xml:space="preserve">均胜电子(600699)2026年中报点评：上半年业绩稳健 新兴业务持续拓展 — https://quote.cfi.cn/ybdata.aspx?id=20260904000167&amp;utm_source=openai</w:t>
      </w:r>
    </w:p>
    <w:p>
      <w:pPr>
        <w:spacing w:after="200"/>
      </w:pPr>
      <w:r>
        <w:rPr>
          <w:i/>
          <w:iCs/>
          <w:color w:val="595959"/>
          <w:sz w:val="18"/>
          <w:szCs w:val="18"/>
        </w:rPr>
        <w:t xml:space="preserve">均胜电子2026年第二季度利润率不及预期；新订单强劲；AD项目启动 - 美银证券 ｜ 发现报告 — https://www.fxbaogao.com/detail/5644730?utm_source=openai</w:t>
      </w:r>
    </w:p>
    <w:p>
      <w:pPr>
        <w:spacing w:after="200"/>
      </w:pPr>
      <w:r>
        <w:rPr>
          <w:i/>
          <w:iCs/>
          <w:color w:val="595959"/>
          <w:sz w:val="18"/>
          <w:szCs w:val="18"/>
        </w:rPr>
        <w:t xml:space="preserve">均胜电子(600699)_股票行情，行情首页_中财网 — https://quotewh.cfi.cn/quote1403_600699.html?utm_source=openai</w:t>
      </w:r>
    </w:p>
    <w:p>
      <w:pPr>
        <w:spacing w:after="200"/>
      </w:pPr>
      <w:r>
        <w:rPr>
          <w:i/>
          <w:iCs/>
          <w:color w:val="595959"/>
          <w:sz w:val="18"/>
          <w:szCs w:val="18"/>
        </w:rPr>
        <w:t xml:space="preserve">香港交易及結算所有限公司及香港聯合交易所有限公司對本公告的內容概不負責，對其準確性或 — https://www.hkexnews.hk/listedco/listconews/sehk/2026/0427/2026042702212_c.pdf?utm_source=openai</w:t>
      </w:r>
    </w:p>
    <w:p>
      <w:pPr>
        <w:spacing w:after="200"/>
      </w:pPr>
      <w:r>
        <w:rPr>
          <w:i/>
          <w:iCs/>
          <w:color w:val="595959"/>
          <w:sz w:val="18"/>
          <w:szCs w:val="18"/>
        </w:rPr>
        <w:t xml:space="preserve">均胜电子(600699)_公司公告_均胜电子：关于召开2026年半年度业绩说明会的公告新浪财经_新浪网 — https://money.finance.sina.com.cn/corp/view/vCB_AllBulletinDetail.php?id=12538198&amp;stockid=600699</w:t>
      </w:r>
    </w:p>
    <w:p>
      <w:pPr>
        <w:spacing w:after="200"/>
      </w:pPr>
      <w:r>
        <w:rPr>
          <w:i/>
          <w:iCs/>
          <w:color w:val="595959"/>
          <w:sz w:val="18"/>
          <w:szCs w:val="18"/>
        </w:rPr>
        <w:t xml:space="preserve">均胜电子：已推出车载光通信解决方案 正推进整车厂项目导入 _ 东方财富网 — https://finance.eastmoney.com/a/202609043865373252.html?utm_source=openai</w:t>
      </w:r>
    </w:p>
    <w:p>
      <w:pPr>
        <w:spacing w:after="200"/>
      </w:pPr>
      <w:r>
        <w:rPr>
          <w:i/>
          <w:iCs/>
          <w:color w:val="595959"/>
          <w:sz w:val="18"/>
          <w:szCs w:val="18"/>
        </w:rPr>
        <w:t xml:space="preserve">未知机构:《600699均胜电子2026年9月4日投资者关系活动记录表研报投资分析》-发现报告 — https://www.fxbaogao.com/detail/5680729?utm_source=openai</w:t>
      </w:r>
    </w:p>
    <w:p>
      <w:pPr>
        <w:spacing w:after="200"/>
      </w:pPr>
      <w:r>
        <w:rPr>
          <w:i/>
          <w:iCs/>
          <w:color w:val="595959"/>
          <w:sz w:val="18"/>
          <w:szCs w:val="18"/>
        </w:rPr>
        <w:t xml:space="preserve">https://file.finance.sina.com.cn/211.154.219.97%3A9494/MRGG/CNSESH_STOCK/2026/2026-9/2026-09-05/12585232.PDF — https://file.finance.sina.com.cn/211.154.219.97%3A9494/MRGG/CNSESH_STOCK/2026/2026-9/2026-09-05/12585232.PDF</w:t>
      </w:r>
    </w:p>
    <w:p>
      <w:pPr>
        <w:spacing w:after="200"/>
      </w:pPr>
      <w:r>
        <w:rPr>
          <w:i/>
          <w:iCs/>
          <w:color w:val="595959"/>
          <w:sz w:val="18"/>
          <w:szCs w:val="18"/>
        </w:rPr>
        <w:t xml:space="preserve">均胜电子(600699)_公司公告_均胜电子：关于汽车安全事业部引入战略投资者的公告新浪财经_新浪网 — https://money.finance.sina.com.cn/corp/view/vCB_AllBulletinDetail.php?id=12491841&amp;stockid=600699</w:t>
      </w:r>
    </w:p>
    <w:p>
      <w:pPr>
        <w:spacing w:after="200"/>
      </w:pPr>
      <w:r>
        <w:rPr>
          <w:i/>
          <w:iCs/>
          <w:color w:val="595959"/>
          <w:sz w:val="18"/>
          <w:szCs w:val="18"/>
        </w:rPr>
        <w:t xml:space="preserve">https://file.finance.sina.com.cn/211.154.219.97%3A9494/MRGG/CNSESH_STOCK/2026/2026-8/2026-08-11/12486146.PDF — https://file.finance.sina.com.cn/211.154.219.97%3A9494/MRGG/CNSESH_STOCK/2026/2026-8/2026-08-11/12486146.PDF</w:t>
      </w:r>
    </w:p>
    <w:p>
      <w:pPr>
        <w:spacing w:after="200"/>
      </w:pPr>
      <w:r>
        <w:rPr>
          <w:i/>
          <w:iCs/>
          <w:color w:val="595959"/>
          <w:sz w:val="18"/>
          <w:szCs w:val="18"/>
        </w:rPr>
        <w:t xml:space="preserve">均胜电子(600699)公司公告_新浪财经_新浪网 — https://money.finance.sina.com.cn/corp/go.php/vCB_AllBulletin/stockid/600699.phtml</w:t>
      </w:r>
    </w:p>
    <w:p>
      <w:pPr>
        <w:spacing w:after="200"/>
      </w:pPr>
      <w:r>
        <w:rPr>
          <w:i/>
          <w:iCs/>
          <w:color w:val="595959"/>
          <w:sz w:val="18"/>
          <w:szCs w:val="18"/>
        </w:rPr>
        <w:t xml:space="preserve">均胜电子(600699)_公司公告_均胜电子：关于实际控制人、董事长增持公司股份的公告新浪财经_新浪网 — https://vip.stock.finance.sina.com.cn/corp/view/vCB_AllBulletinDetail.php?id=12391329&amp;stockid=600699&amp;utm_source=openai</w:t>
      </w:r>
    </w:p>
    <w:p>
      <w:pPr>
        <w:spacing w:after="200"/>
      </w:pPr>
      <w:r>
        <w:rPr>
          <w:i/>
          <w:iCs/>
          <w:color w:val="595959"/>
          <w:sz w:val="18"/>
          <w:szCs w:val="18"/>
        </w:rPr>
        <w:t xml:space="preserve">业绩预披露_数据中心_同花顺财经 — https://data.10jqka.com.cn/financial/yypl/op/code/code/600699/</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均胜电子 (600699) - 历史交易数据 | 打板客网 — https://dabanke.com/hangqing-600699.html?utm_source=openai</w:t>
      </w:r>
    </w:p>
    <w:p>
      <w:pPr>
        <w:spacing w:after="200"/>
      </w:pPr>
      <w:r>
        <w:rPr>
          <w:i/>
          <w:iCs/>
          <w:color w:val="595959"/>
          <w:sz w:val="18"/>
          <w:szCs w:val="18"/>
        </w:rPr>
        <w:t xml:space="preserve">600699 | Ningbo Joyson Electronic Corp股市 - Investing.com — https://hk.investing.com/equities/joyson-electro?utm_source=openai</w:t>
      </w:r>
    </w:p>
    <w:p>
      <w:pPr>
        <w:spacing w:after="200"/>
      </w:pPr>
      <w:r>
        <w:rPr>
          <w:i/>
          <w:iCs/>
          <w:color w:val="595959"/>
          <w:sz w:val="18"/>
          <w:szCs w:val="18"/>
        </w:rPr>
        <w:t xml:space="preserve">SH.600699 均胜电子 JOYSON ELEC - A股实时报价 RT Quote - 详细报价 Detailed Quote - etnet 经济通|香港新闻财经资讯和生活平台 — https://ashares.etnet.com.hk/www/sc/ashares/quote.php?code=600699</w:t>
      </w:r>
    </w:p>
    <w:p>
      <w:pPr>
        <w:spacing w:after="200"/>
      </w:pPr>
      <w:r>
        <w:rPr>
          <w:i/>
          <w:iCs/>
          <w:color w:val="595959"/>
          <w:sz w:val="18"/>
          <w:szCs w:val="18"/>
        </w:rPr>
        <w:t xml:space="preserve">均胜电子(600699)股票行情走势技术分析_未来预测_买卖操作建议_英为财情Investing.com — https://cn.investing.com/equities/joyson-electro-technical</w:t>
      </w:r>
    </w:p>
    <w:p>
      <w:pPr>
        <w:spacing w:after="200"/>
      </w:pPr>
      <w:r>
        <w:rPr>
          <w:i/>
          <w:iCs/>
          <w:color w:val="595959"/>
          <w:sz w:val="18"/>
          <w:szCs w:val="18"/>
        </w:rPr>
        <w:t xml:space="preserve">均胜电子(600699)_资金流向_证券之星 — https://stock.quote.stockstar.com/capital_600699.shtml?utm_source=openai</w:t>
      </w:r>
    </w:p>
    <w:p>
      <w:pPr>
        <w:spacing w:after="200"/>
      </w:pPr>
      <w:r>
        <w:rPr>
          <w:i/>
          <w:iCs/>
          <w:color w:val="595959"/>
          <w:sz w:val="18"/>
          <w:szCs w:val="18"/>
        </w:rPr>
        <w:t xml:space="preserve">均胜电子(600699.SH) 股票行情_历史数据_主力资金 - 大波浪数据 — https://www.yyqyx.com/s/600699.SH</w:t>
      </w:r>
    </w:p>
    <w:p>
      <w:pPr>
        <w:spacing w:after="200"/>
      </w:pPr>
      <w:r>
        <w:rPr>
          <w:i/>
          <w:iCs/>
          <w:color w:val="595959"/>
          <w:sz w:val="18"/>
          <w:szCs w:val="18"/>
        </w:rPr>
        <w:t xml:space="preserve">均胜电子(600699) 最新动态_F10_同花顺金融服务网 — https://basic.10jqka.com.cn/600699/index.html?utm_source=openai</w:t>
      </w:r>
    </w:p>
    <w:p>
      <w:pPr>
        <w:spacing w:after="200"/>
      </w:pPr>
      <w:r>
        <w:rPr>
          <w:i/>
          <w:iCs/>
          <w:color w:val="595959"/>
          <w:sz w:val="18"/>
          <w:szCs w:val="18"/>
        </w:rPr>
        <w:t xml:space="preserve">本报告由AI基于公开渠道信息自动检索、整理并生成，信息截至 截至2026年9月11日收盘，可能存在时效性差异，具体数据请以公司正式公告及权威数据终端为准。本报告仅为信息整理与研究参考，不构成任何投资建议，投资者应独立判断并自行承担投资风险。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2026-09-14T01:01:13.644Z</dcterms:created>
  <dcterms:modified xsi:type="dcterms:W3CDTF">2026-09-14T01:01:13.644Z</dcterms:modified>
</cp:coreProperties>
</file>

<file path=docProps/custom.xml><?xml version="1.0" encoding="utf-8"?>
<Properties xmlns="http://schemas.openxmlformats.org/officeDocument/2006/custom-properties" xmlns:vt="http://schemas.openxmlformats.org/officeDocument/2006/docPropsVTypes"/>
</file>