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1600"/>
        <w:jc w:val="center"/>
      </w:pPr>
      <w:r>
        <w:rPr>
          <w:b/>
          <w:bCs/>
          <w:color w:val="1F4E79"/>
          <w:sz w:val="44"/>
          <w:szCs w:val="44"/>
        </w:rPr>
        <w:t xml:space="preserve">宝胜科技创新股份有限公司 (600973)</w:t>
      </w:r>
    </w:p>
    <w:p>
      <w:pPr>
        <w:spacing w:after="200" w:before="200"/>
        <w:jc w:val="center"/>
      </w:pPr>
      <w:r>
        <w:rPr>
          <w:b/>
          <w:bCs/>
          <w:color w:val="2E74B5"/>
          <w:sz w:val="34"/>
          <w:szCs w:val="34"/>
        </w:rPr>
        <w:t xml:space="preserve">个股分析报告</w:t>
      </w:r>
    </w:p>
    <w:p>
      <w:pPr>
        <w:spacing w:before="600"/>
        <w:jc w:val="center"/>
      </w:pPr>
      <w:r>
        <w:rPr>
          <w:color w:val="595959"/>
          <w:sz w:val="22"/>
          <w:szCs w:val="22"/>
        </w:rPr>
        <w:t xml:space="preserve">行业：电线电缆制造</w:t>
      </w:r>
    </w:p>
    <w:p>
      <w:pPr>
        <w:jc w:val="center"/>
      </w:pPr>
      <w:r>
        <w:rPr>
          <w:color w:val="595959"/>
          <w:sz w:val="22"/>
          <w:szCs w:val="22"/>
        </w:rPr>
        <w:t xml:space="preserve">报告日期：2026年10月1日</w:t>
      </w:r>
    </w:p>
    <w:p>
      <w:pPr>
        <w:jc w:val="center"/>
      </w:pPr>
      <w:r>
        <w:rPr>
          <w:color w:val="595959"/>
          <w:sz w:val="20"/>
          <w:szCs w:val="20"/>
        </w:rPr>
        <w:t xml:space="preserve">行情及技术指标截至2026-09-30收盘</w:t>
      </w:r>
    </w:p>
    <w:p>
      <w:pPr>
        <w:spacing w:before="800"/>
        <w:jc w:val="center"/>
      </w:pPr>
      <w:r>
        <w:rPr>
          <w:i/>
          <w:iCs/>
          <w:color w:val="595959"/>
          <w:sz w:val="18"/>
          <w:szCs w:val="18"/>
        </w:rPr>
        <w:t xml:space="preserve">本报告基于公开信息由AI自动整理生成，仅供参考，不构成投资建议</w:t>
      </w:r>
    </w:p>
    <w:p>
      <w:r>
        <w:br w:type="page"/>
      </w:r>
    </w:p>
    <w:p>
      <w:pPr>
        <w:spacing w:after="160" w:line="300"/>
      </w:pPr>
      <w:r>
        <w:rPr>
          <w:b/>
          <w:bCs/>
          <w:color w:val="1F4E79"/>
          <w:sz w:val="22"/>
          <w:szCs w:val="22"/>
        </w:rPr>
        <w:t xml:space="preserve">核心结论：利润翻倍但现金流转负、毛利率下滑，估值已透支微利修复预期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6700"/>
      </w:tblGrid>
      <w:tr>
        <w:trPr>
          <w:tblHeader/>
        </w:trPr>
        <w:tc>
          <w:tcPr>
            <w:tcW w:type="dxa" w:w="32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关键数据</w:t>
            </w:r>
          </w:p>
        </w:tc>
        <w:tc>
          <w:tcPr>
            <w:tcW w:type="dxa" w:w="67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数值</w:t>
            </w:r>
          </w:p>
        </w:tc>
      </w:tr>
      <w:tr>
        <w:tc>
          <w:tcPr>
            <w:tcW w:type="dxa" w:w="3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收盘价</w:t>
            </w:r>
          </w:p>
        </w:tc>
        <w:tc>
          <w:tcPr>
            <w:tcW w:type="dxa" w:w="6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5.71元（0%）</w:t>
            </w:r>
          </w:p>
        </w:tc>
      </w:tr>
      <w:tr>
        <w:tc>
          <w:tcPr>
            <w:tcW w:type="dxa" w:w="3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总市值</w:t>
            </w:r>
          </w:p>
        </w:tc>
        <w:tc>
          <w:tcPr>
            <w:tcW w:type="dxa" w:w="67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约78.31亿元</w:t>
            </w:r>
          </w:p>
        </w:tc>
      </w:tr>
      <w:tr>
        <w:tc>
          <w:tcPr>
            <w:tcW w:type="dxa" w:w="3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PE(TTM)</w:t>
            </w:r>
          </w:p>
        </w:tc>
        <w:tc>
          <w:tcPr>
            <w:tcW w:type="dxa" w:w="6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371.23倍</w:t>
            </w:r>
          </w:p>
        </w:tc>
      </w:tr>
      <w:tr>
        <w:tc>
          <w:tcPr>
            <w:tcW w:type="dxa" w:w="3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PB(MRQ)</w:t>
            </w:r>
          </w:p>
        </w:tc>
        <w:tc>
          <w:tcPr>
            <w:tcW w:type="dxa" w:w="67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2.19倍</w:t>
            </w:r>
          </w:p>
        </w:tc>
      </w:tr>
      <w:tr>
        <w:tc>
          <w:tcPr>
            <w:tcW w:type="dxa" w:w="3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PS(TTM)</w:t>
            </w:r>
          </w:p>
        </w:tc>
        <w:tc>
          <w:tcPr>
            <w:tcW w:type="dxa" w:w="6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0.14倍</w:t>
            </w:r>
          </w:p>
        </w:tc>
      </w:tr>
      <w:tr>
        <w:tc>
          <w:tcPr>
            <w:tcW w:type="dxa" w:w="3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52周区间</w:t>
            </w:r>
          </w:p>
        </w:tc>
        <w:tc>
          <w:tcPr>
            <w:tcW w:type="dxa" w:w="67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5～9.38元</w:t>
            </w:r>
          </w:p>
        </w:tc>
      </w:tr>
      <w:tr>
        <w:tc>
          <w:tcPr>
            <w:tcW w:type="dxa" w:w="3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成交额/换手率</w:t>
            </w:r>
          </w:p>
        </w:tc>
        <w:tc>
          <w:tcPr>
            <w:tcW w:type="dxa" w:w="6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3424.85万元／0.44%（单一来源）</w:t>
            </w:r>
          </w:p>
        </w:tc>
      </w:tr>
    </w:tbl>
    <w:p>
      <w:pPr>
        <w:spacing w:before="200"/>
      </w:pP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行情数据截至：行情及技术指标截至2026-09-30收盘</w:t>
      </w: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一、投资要点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利润翻倍但质量存疑</w:t>
      </w:r>
      <w:r>
        <w:rPr>
          <w:sz w:val="22"/>
          <w:szCs w:val="22"/>
        </w:rPr>
        <w:t xml:space="preserve">：2026H1归母1.315亿、扣非1.157亿，同比均近+100%，但毛利率降至3.65%、经营现金流-5.80亿（为净利润-4.41倍）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增长靠低毛利裸导体放量，弹性有限</w:t>
      </w:r>
      <w:r>
        <w:rPr>
          <w:sz w:val="22"/>
          <w:szCs w:val="22"/>
        </w:rPr>
        <w:t xml:space="preserve">：裸导体占主营收入约66%、毛利率仅0.78%；H1收入+36.26%但毛利率同比降0.84pct，规模扩张未带来利润率改善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估值偏高、无机构锚</w:t>
      </w:r>
      <w:r>
        <w:rPr>
          <w:sz w:val="22"/>
          <w:szCs w:val="22"/>
        </w:rPr>
        <w:t xml:space="preserve">：PE(TTM)371倍处近5.2年86%分位，PB2.19倍处78%分位，PS0.14倍处21%分位；2026/2027年无机构业绩预测，最新可查目标价为国泰海通2025年3月的6.82元（历史值）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市场预期与证据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市场在定价</w:t>
      </w:r>
      <w:r>
        <w:rPr>
          <w:sz w:val="22"/>
          <w:szCs w:val="22"/>
        </w:rPr>
        <w:t xml:space="preserve">：无2026/2027年机构一致预期可参照；371倍PE隐含按8%年化回报、10年后15倍PE退出，每股收益需年均增长约48.9%，即市场定价的是盈利持续高速修复的路径而非当前微利水平。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证据显示</w:t>
      </w:r>
      <w:r>
        <w:rPr>
          <w:sz w:val="22"/>
          <w:szCs w:val="22"/>
        </w:rPr>
        <w:t xml:space="preserve">：H1利润高增兑现预告，但毛利率反降0.84pct、经营现金流-5.80亿元，盈利修复的可持续性与现金含量均未被证实，与隐含48.9%的复合增速要求存在明显落差，尚待三季报与年报验证。</w:t>
      </w:r>
    </w:p>
    <w:p>
      <w:pPr>
        <w:spacing w:after="160" w:line="300"/>
      </w:pPr>
      <w:r>
        <w:rPr>
          <w:b/>
          <w:bCs/>
          <w:color w:val="1F4E79"/>
          <w:sz w:val="22"/>
          <w:szCs w:val="22"/>
        </w:rPr>
        <w:t xml:space="preserve">证据倾向：偏空；置信度：中</w:t>
      </w:r>
    </w:p>
    <w:p>
      <w:pPr>
        <w:spacing w:after="160" w:line="300"/>
      </w:pPr>
      <w:r>
        <w:rPr>
          <w:sz w:val="22"/>
          <w:szCs w:val="22"/>
        </w:rPr>
        <w:t xml:space="preserve">H1利润翻倍为实，但毛利率下滑、现金流为负且估值处历史高分位，基本面与价格存在落差。</w:t>
      </w: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二、生意与竞争力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2.1 业务结构</w:t>
      </w:r>
    </w:p>
    <w:p>
      <w:pPr>
        <w:spacing w:after="160" w:line="300"/>
      </w:pPr>
      <w:r>
        <w:rPr>
          <w:sz w:val="22"/>
          <w:szCs w:val="22"/>
        </w:rPr>
        <w:t xml:space="preserve">向电力、工程、航空、核电等客户销售电线电缆及附件，收入以铜杆等大宗导体和电缆制造为主，定价受铜价传导及项目竞标影响。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1400"/>
        <w:gridCol w:w="1300"/>
        <w:gridCol w:w="1400"/>
        <w:gridCol w:w="3800"/>
      </w:tblGrid>
      <w:tr>
        <w:trPr>
          <w:tblHeader/>
        </w:trPr>
        <w:tc>
          <w:tcPr>
            <w:tcW w:type="dxa" w:w="20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业务板块</w:t>
            </w:r>
          </w:p>
        </w:tc>
        <w:tc>
          <w:tcPr>
            <w:tcW w:type="dxa" w:w="14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收入占比</w:t>
            </w:r>
          </w:p>
        </w:tc>
        <w:tc>
          <w:tcPr>
            <w:tcW w:type="dxa" w:w="13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毛利率</w:t>
            </w:r>
          </w:p>
        </w:tc>
        <w:tc>
          <w:tcPr>
            <w:tcW w:type="dxa" w:w="14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收入增速</w:t>
            </w:r>
          </w:p>
        </w:tc>
        <w:tc>
          <w:tcPr>
            <w:tcW w:type="dxa" w:w="38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要点</w:t>
            </w:r>
          </w:p>
        </w:tc>
      </w:tr>
      <w:tr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裸导体及其制品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约66.1%（2025年主营业务收入口径）</w:t>
            </w:r>
          </w:p>
        </w:tc>
        <w:tc>
          <w:tcPr>
            <w:tcW w:type="dxa" w:w="13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0.78%（2025年）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3.58%（2025年收入同比）</w:t>
            </w:r>
          </w:p>
        </w:tc>
        <w:tc>
          <w:tcPr>
            <w:tcW w:type="dxa" w:w="3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收入最大但毛利极薄，铜杆等大宗原料属性较强</w:t>
            </w:r>
          </w:p>
        </w:tc>
      </w:tr>
      <w:tr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电力电缆</w:t>
            </w:r>
          </w:p>
        </w:tc>
        <w:tc>
          <w:tcPr>
            <w:tcW w:type="dxa" w:w="1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约26.4%（2025年主营业务收入口径）</w:t>
            </w:r>
          </w:p>
        </w:tc>
        <w:tc>
          <w:tcPr>
            <w:tcW w:type="dxa" w:w="13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9.61%（2025年）</w:t>
            </w:r>
          </w:p>
        </w:tc>
        <w:tc>
          <w:tcPr>
            <w:tcW w:type="dxa" w:w="1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2.95%（2025年收入同比）</w:t>
            </w:r>
          </w:p>
        </w:tc>
        <w:tc>
          <w:tcPr>
            <w:tcW w:type="dxa" w:w="3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2025年销量同比下降17.09%</w:t>
            </w:r>
          </w:p>
        </w:tc>
      </w:tr>
      <w:tr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电气装备用电缆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约6.3%（2025年主营业务收入口径）</w:t>
            </w:r>
          </w:p>
        </w:tc>
        <w:tc>
          <w:tcPr>
            <w:tcW w:type="dxa" w:w="13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13.09%（2025年）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28.45%（2025年收入同比）</w:t>
            </w:r>
          </w:p>
        </w:tc>
        <w:tc>
          <w:tcPr>
            <w:tcW w:type="dxa" w:w="3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收入增长但销量下降，毛利率同比降2.28个百分点</w:t>
            </w:r>
          </w:p>
        </w:tc>
      </w:tr>
      <w:tr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通信电缆及光缆</w:t>
            </w:r>
          </w:p>
        </w:tc>
        <w:tc>
          <w:tcPr>
            <w:tcW w:type="dxa" w:w="1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约0.9%（2025年主营业务收入口径）</w:t>
            </w:r>
          </w:p>
        </w:tc>
        <w:tc>
          <w:tcPr>
            <w:tcW w:type="dxa" w:w="13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17.48%（2025年）</w:t>
            </w:r>
          </w:p>
        </w:tc>
        <w:tc>
          <w:tcPr>
            <w:tcW w:type="dxa" w:w="1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19.20%（2025年收入同比）</w:t>
            </w:r>
          </w:p>
        </w:tc>
        <w:tc>
          <w:tcPr>
            <w:tcW w:type="dxa" w:w="3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收入占比较小</w:t>
            </w:r>
          </w:p>
        </w:tc>
      </w:tr>
      <w:tr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光伏发电及维护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约0.3%（2025年主营业务收入口径）</w:t>
            </w:r>
          </w:p>
        </w:tc>
        <w:tc>
          <w:tcPr>
            <w:tcW w:type="dxa" w:w="13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53.60%（2025年）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4.72%（2025年收入同比）</w:t>
            </w:r>
          </w:p>
        </w:tc>
        <w:tc>
          <w:tcPr>
            <w:tcW w:type="dxa" w:w="3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规模很小，不代表公司整体盈利水平</w:t>
            </w:r>
          </w:p>
        </w:tc>
      </w:tr>
    </w:tbl>
    <w:p>
      <w:pPr>
        <w:spacing w:before="200"/>
      </w:pP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2.2 竞争优势</w:t>
      </w:r>
    </w:p>
    <w:p>
      <w:pPr>
        <w:spacing w:after="160" w:line="300"/>
      </w:pPr>
      <w:r>
        <w:rPr>
          <w:b/>
          <w:bCs/>
          <w:color w:val="1F4E79"/>
          <w:sz w:val="22"/>
          <w:szCs w:val="22"/>
        </w:rPr>
        <w:t xml:space="preserve">竞争优势强度：中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规模与项目准入：2025年国网中标金额超30亿元，并向雅江水电站供货近1亿元，体现投标和交付能力。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客户认证与技术：军机线缆持续供货，核电产品批量供货；132kV电缆附件获KEMA认证。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高端产品开发：公司披露19项装备线缆完成进口替代研发并形成订单，超导线缆应用于核聚变装置。</w:t>
      </w:r>
    </w:p>
    <w:p>
      <w:pPr>
        <w:spacing w:after="160" w:line="300"/>
      </w:pPr>
      <w:r>
        <w:rPr>
          <w:sz w:val="22"/>
          <w:szCs w:val="22"/>
        </w:rPr>
        <w:t xml:space="preserve">主要威胁：裸导体占比高且毛利不足1%，铜价传导时滞、低毛利竞标、应收减值及高端业务利润贡献不足均可能侵蚀优势。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2.3 产业链位置与盈利趋势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主要采购铜、铝等导体材料，以及绝缘、护套材料；通信及光缆产品还涉及光纤。2025年工业成本中原材料占97.40%。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2025年前五大供应商采购额占年度采购总额52.60%；公司不是铜等大宗品的价格制定者，铜价上涨会抬升成本，传导并非必然即时、等比例。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客户覆盖电力能源、航空、核电、装备、通信和工程领域，销售主要通过招投标、项目采购及客户认证竞争。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电网和大型项目重视资质、质量与交付，但不代表普遍具备自主提价权；裸导体等标准化业务面临原料联动和竞标压力，年报未披露统一年降条款。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2025年年报披露前五大客户销售占比12.67%、前五大供应商采购占比52.60%；均为单一年度一手披露，逐户占比未交叉核实。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2025年末应收账款余额81.25亿元、坏账准备23.45亿元，应收余额约占全年营收16.9%；经营现金流净额8.12亿元，较2024年净流出改善。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1800"/>
        <w:gridCol w:w="1800"/>
        <w:gridCol w:w="4800"/>
      </w:tblGrid>
      <w:tr>
        <w:trPr>
          <w:tblHeader/>
        </w:trPr>
        <w:tc>
          <w:tcPr>
            <w:tcW w:type="dxa" w:w="15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年度</w:t>
            </w:r>
          </w:p>
        </w:tc>
        <w:tc>
          <w:tcPr>
            <w:tcW w:type="dxa" w:w="18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毛利率</w:t>
            </w:r>
          </w:p>
        </w:tc>
        <w:tc>
          <w:tcPr>
            <w:tcW w:type="dxa" w:w="18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净利率</w:t>
            </w:r>
          </w:p>
        </w:tc>
        <w:tc>
          <w:tcPr>
            <w:tcW w:type="dxa" w:w="48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变动原因</w:t>
            </w:r>
          </w:p>
        </w:tc>
      </w:tr>
      <w:tr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2021</w:t>
            </w:r>
          </w:p>
        </w:tc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约6.39%</w:t>
            </w:r>
          </w:p>
        </w:tc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约-1.78%</w:t>
            </w:r>
          </w:p>
        </w:tc>
        <w:tc>
          <w:tcPr>
            <w:tcW w:type="dxa" w:w="4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归母亏损，减值等因素影响利润，毛利率不代表全年经营结果</w:t>
            </w:r>
          </w:p>
        </w:tc>
      </w:tr>
      <w:tr>
        <w:tc>
          <w:tcPr>
            <w:tcW w:type="dxa" w:w="15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2022</w:t>
            </w:r>
          </w:p>
        </w:tc>
        <w:tc>
          <w:tcPr>
            <w:tcW w:type="dxa" w:w="1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约5.12%</w:t>
            </w:r>
          </w:p>
        </w:tc>
        <w:tc>
          <w:tcPr>
            <w:tcW w:type="dxa" w:w="1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约0.16%</w:t>
            </w:r>
          </w:p>
        </w:tc>
        <w:tc>
          <w:tcPr>
            <w:tcW w:type="dxa" w:w="4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毛利率下降、归母微利，缺少可核实的单一归因</w:t>
            </w:r>
          </w:p>
        </w:tc>
      </w:tr>
      <w:tr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2023</w:t>
            </w:r>
          </w:p>
        </w:tc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约5.30%</w:t>
            </w:r>
          </w:p>
        </w:tc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约0.07%</w:t>
            </w:r>
          </w:p>
        </w:tc>
        <w:tc>
          <w:tcPr>
            <w:tcW w:type="dxa" w:w="4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毛利率小幅回升但净利率仍薄，未能量化归因于单项成本</w:t>
            </w:r>
          </w:p>
        </w:tc>
      </w:tr>
      <w:tr>
        <w:tc>
          <w:tcPr>
            <w:tcW w:type="dxa" w:w="15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2024</w:t>
            </w:r>
          </w:p>
        </w:tc>
        <w:tc>
          <w:tcPr>
            <w:tcW w:type="dxa" w:w="1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约4.44%</w:t>
            </w:r>
          </w:p>
        </w:tc>
        <w:tc>
          <w:tcPr>
            <w:tcW w:type="dxa" w:w="1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约-0.65%</w:t>
            </w:r>
          </w:p>
        </w:tc>
        <w:tc>
          <w:tcPr>
            <w:tcW w:type="dxa" w:w="4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低毛利裸导体收入快增，恒大系应收减值拖累利润</w:t>
            </w:r>
          </w:p>
        </w:tc>
      </w:tr>
      <w:tr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2025</w:t>
            </w:r>
          </w:p>
        </w:tc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约4.22%</w:t>
            </w:r>
          </w:p>
        </w:tc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约-0.09%</w:t>
            </w:r>
          </w:p>
        </w:tc>
        <w:tc>
          <w:tcPr>
            <w:tcW w:type="dxa" w:w="4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成本增速快于收入，铜价上涨；应收补提减值及参股企业亏损影响净利</w:t>
            </w:r>
          </w:p>
        </w:tc>
      </w:tr>
    </w:tbl>
    <w:p>
      <w:pPr>
        <w:spacing w:before="200"/>
      </w:pPr>
    </w:p>
    <w:p>
      <w:pPr>
        <w:spacing w:after="160" w:line="300"/>
      </w:pPr>
      <w:r>
        <w:rPr>
          <w:sz w:val="22"/>
          <w:szCs w:val="22"/>
        </w:rPr>
        <w:t xml:space="preserve">公司处于原料密集、利润率偏薄的电缆制造中游，2025年裸导体约占主营收入66%、毛利率仅0.78%。利润改善取决于高毛利特种及装备线缆形成实际收入、铜价传导和成本控制，以及回款与减值管理。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2.4 行业与同行对比</w:t>
      </w:r>
    </w:p>
    <w:p>
      <w:pPr>
        <w:spacing w:after="160" w:line="300"/>
      </w:pPr>
      <w:r>
        <w:rPr>
          <w:sz w:val="22"/>
          <w:szCs w:val="22"/>
        </w:rPr>
        <w:t xml:space="preserve">线缆制造业务规模大，但宝胜收入仍高度集中于低毛利裸导体；公司具备高端认证与项目供货能力，关键在于这些业务能否形成持续利润贡献。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100"/>
        <w:gridCol w:w="2300"/>
        <w:gridCol w:w="2600"/>
        <w:gridCol w:w="2900"/>
      </w:tblGrid>
      <w:tr>
        <w:trPr>
          <w:tblHeader/>
        </w:trPr>
        <w:tc>
          <w:tcPr>
            <w:tcW w:type="dxa" w:w="21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公司</w:t>
            </w:r>
          </w:p>
        </w:tc>
        <w:tc>
          <w:tcPr>
            <w:tcW w:type="dxa" w:w="23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定位</w:t>
            </w:r>
          </w:p>
        </w:tc>
        <w:tc>
          <w:tcPr>
            <w:tcW w:type="dxa" w:w="26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可比数据</w:t>
            </w:r>
          </w:p>
        </w:tc>
        <w:tc>
          <w:tcPr>
            <w:tcW w:type="dxa" w:w="29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与本公司差异</w:t>
            </w:r>
          </w:p>
        </w:tc>
      </w:tr>
      <w:tr>
        <w:tc>
          <w:tcPr>
            <w:tcW w:type="dxa" w:w="2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远东股份（600869）</w:t>
            </w:r>
          </w:p>
        </w:tc>
        <w:tc>
          <w:tcPr>
            <w:tcW w:type="dxa" w:w="23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线缆兼智能电池、智慧机场</w:t>
            </w:r>
          </w:p>
        </w:tc>
        <w:tc>
          <w:tcPr>
            <w:tcW w:type="dxa" w:w="2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2025营收281.08亿元；主营分部毛利率9.26%；2026-09-30 TTM PE约294.17</w:t>
            </w:r>
          </w:p>
        </w:tc>
        <w:tc>
          <w:tcPr>
            <w:tcW w:type="dxa" w:w="2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业务更多元，归母净利润约0.59亿元；低利润基数使PE偏高</w:t>
            </w:r>
          </w:p>
        </w:tc>
      </w:tr>
      <w:tr>
        <w:tc>
          <w:tcPr>
            <w:tcW w:type="dxa" w:w="21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起帆电缆（605222）</w:t>
            </w:r>
          </w:p>
        </w:tc>
        <w:tc>
          <w:tcPr>
            <w:tcW w:type="dxa" w:w="23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以电线电缆为主</w:t>
            </w:r>
          </w:p>
        </w:tc>
        <w:tc>
          <w:tcPr>
            <w:tcW w:type="dxa" w:w="2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2025营收215.83亿元；毛利率约5.50%；2026-09-30 PE约60.49</w:t>
            </w:r>
          </w:p>
        </w:tc>
        <w:tc>
          <w:tcPr>
            <w:tcW w:type="dxa" w:w="2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规模较小，2025年收入同比下降5.19%；毛利率数据来自公开财报解读</w:t>
            </w:r>
          </w:p>
        </w:tc>
      </w:tr>
      <w:tr>
        <w:tc>
          <w:tcPr>
            <w:tcW w:type="dxa" w:w="2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汉缆股份（002498）</w:t>
            </w:r>
          </w:p>
        </w:tc>
        <w:tc>
          <w:tcPr>
            <w:tcW w:type="dxa" w:w="23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电缆及高压、海底、特种线缆</w:t>
            </w:r>
          </w:p>
        </w:tc>
        <w:tc>
          <w:tcPr>
            <w:tcW w:type="dxa" w:w="2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2025营收104.07亿元；毛利率约14.00%；2026-09-30 PE约35.09</w:t>
            </w:r>
          </w:p>
        </w:tc>
        <w:tc>
          <w:tcPr>
            <w:tcW w:type="dxa" w:w="2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产品结构与宝胜的超大规模裸导体业务占比不同</w:t>
            </w:r>
          </w:p>
        </w:tc>
      </w:tr>
      <w:tr>
        <w:tc>
          <w:tcPr>
            <w:tcW w:type="dxa" w:w="21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金杯电工（002533）</w:t>
            </w:r>
          </w:p>
        </w:tc>
        <w:tc>
          <w:tcPr>
            <w:tcW w:type="dxa" w:w="23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电缆与电磁线</w:t>
            </w:r>
          </w:p>
        </w:tc>
        <w:tc>
          <w:tcPr>
            <w:tcW w:type="dxa" w:w="2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2025营收203.21亿元；毛利率约10.23%；2026-09-30 TTM PE约12.76</w:t>
            </w:r>
          </w:p>
        </w:tc>
        <w:tc>
          <w:tcPr>
            <w:tcW w:type="dxa" w:w="2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规模较小，归母净利润约6亿元，盈利表现高于宝胜2025年</w:t>
            </w:r>
          </w:p>
        </w:tc>
      </w:tr>
    </w:tbl>
    <w:p>
      <w:pPr>
        <w:spacing w:before="200"/>
      </w:pPr>
    </w:p>
    <w:p>
      <w:pPr>
        <w:spacing w:after="160" w:line="300"/>
      </w:pPr>
      <w:r>
        <w:rPr>
          <w:sz w:val="22"/>
          <w:szCs w:val="22"/>
        </w:rPr>
        <w:t xml:space="preserve">宝胜营收规模显著高于所列可比公司，并有电网、航空、核电等项目准入和交付证据；但裸导体占比高、整体毛利率低且2025年归母亏损。同行产品结构和利润基数差异大，PE不宜简单横比。</w:t>
      </w: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三、财务质量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3.1 经营业绩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1600"/>
        <w:gridCol w:w="1100"/>
        <w:gridCol w:w="1600"/>
        <w:gridCol w:w="1100"/>
        <w:gridCol w:w="1400"/>
        <w:gridCol w:w="1600"/>
      </w:tblGrid>
      <w:tr>
        <w:trPr>
          <w:tblHeader/>
        </w:trPr>
        <w:tc>
          <w:tcPr>
            <w:tcW w:type="dxa" w:w="15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报告期</w:t>
            </w:r>
          </w:p>
        </w:tc>
        <w:tc>
          <w:tcPr>
            <w:tcW w:type="dxa" w:w="16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营业收入</w:t>
            </w:r>
          </w:p>
        </w:tc>
        <w:tc>
          <w:tcPr>
            <w:tcW w:type="dxa" w:w="11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同比</w:t>
            </w:r>
          </w:p>
        </w:tc>
        <w:tc>
          <w:tcPr>
            <w:tcW w:type="dxa" w:w="16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归母净利润</w:t>
            </w:r>
          </w:p>
        </w:tc>
        <w:tc>
          <w:tcPr>
            <w:tcW w:type="dxa" w:w="11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同比</w:t>
            </w:r>
          </w:p>
        </w:tc>
        <w:tc>
          <w:tcPr>
            <w:tcW w:type="dxa" w:w="14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扣非同比</w:t>
            </w:r>
          </w:p>
        </w:tc>
        <w:tc>
          <w:tcPr>
            <w:tcW w:type="dxa" w:w="16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毛利率</w:t>
            </w:r>
          </w:p>
        </w:tc>
      </w:tr>
      <w:tr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2026年上半年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342.71亿元</w:t>
            </w:r>
          </w:p>
        </w:tc>
        <w:tc>
          <w:tcPr>
            <w:tcW w:type="dxa" w:w="1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+36.26%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1.3150亿元</w:t>
            </w:r>
          </w:p>
        </w:tc>
        <w:tc>
          <w:tcPr>
            <w:tcW w:type="dxa" w:w="1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+97.68%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+100.46%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约3.65%</w:t>
            </w:r>
          </w:p>
        </w:tc>
      </w:tr>
      <w:tr>
        <w:tc>
          <w:tcPr>
            <w:tcW w:type="dxa" w:w="15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2025年度</w:t>
            </w:r>
          </w:p>
        </w:tc>
        <w:tc>
          <w:tcPr>
            <w:tcW w:type="dxa" w:w="1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479.59亿元</w:t>
            </w:r>
          </w:p>
        </w:tc>
        <w:tc>
          <w:tcPr>
            <w:tcW w:type="dxa" w:w="11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+3.45%</w:t>
            </w:r>
          </w:p>
        </w:tc>
        <w:tc>
          <w:tcPr>
            <w:tcW w:type="dxa" w:w="1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-0.44亿元</w:t>
            </w:r>
          </w:p>
        </w:tc>
        <w:tc>
          <w:tcPr>
            <w:tcW w:type="dxa" w:w="11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亏损收窄约85.33%</w:t>
            </w:r>
          </w:p>
        </w:tc>
        <w:tc>
          <w:tcPr>
            <w:tcW w:type="dxa" w:w="1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亏损收窄约86.37%</w:t>
            </w:r>
          </w:p>
        </w:tc>
        <w:tc>
          <w:tcPr>
            <w:tcW w:type="dxa" w:w="1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4.2%</w:t>
            </w:r>
          </w:p>
        </w:tc>
      </w:tr>
      <w:tr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2024年度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463.60亿元</w:t>
            </w:r>
          </w:p>
        </w:tc>
        <w:tc>
          <w:tcPr>
            <w:tcW w:type="dxa" w:w="1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—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-3.00亿元</w:t>
            </w:r>
          </w:p>
        </w:tc>
        <w:tc>
          <w:tcPr>
            <w:tcW w:type="dxa" w:w="1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—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—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4.38%</w:t>
            </w:r>
          </w:p>
        </w:tc>
      </w:tr>
    </w:tbl>
    <w:p>
      <w:pPr>
        <w:spacing w:before="200"/>
      </w:pP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2026年中报未经审计；2026H1毛利率按收入减成本计算，2024年为主营业务工业口径。</w:t>
      </w:r>
    </w:p>
    <w:p>
      <w:pPr>
        <w:spacing w:after="160" w:line="300"/>
      </w:pPr>
      <w:r>
        <w:rPr>
          <w:sz w:val="22"/>
          <w:szCs w:val="22"/>
        </w:rPr>
        <w:t xml:space="preserve">2026H1收入、归母及扣非净利润同比增长，且兑现此前预告；但毛利率较上年同期下降约0.84个百分点，经营现金流为负，利润增长尚未转化为现金流。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3.2 财务健康检查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2000"/>
        <w:gridCol w:w="1100"/>
        <w:gridCol w:w="4400"/>
      </w:tblGrid>
      <w:tr>
        <w:trPr>
          <w:tblHeader/>
        </w:trPr>
        <w:tc>
          <w:tcPr>
            <w:tcW w:type="dxa" w:w="24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指标</w:t>
            </w:r>
          </w:p>
        </w:tc>
        <w:tc>
          <w:tcPr>
            <w:tcW w:type="dxa" w:w="20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数值</w:t>
            </w:r>
          </w:p>
        </w:tc>
        <w:tc>
          <w:tcPr>
            <w:tcW w:type="dxa" w:w="11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判断</w:t>
            </w:r>
          </w:p>
        </w:tc>
        <w:tc>
          <w:tcPr>
            <w:tcW w:type="dxa" w:w="44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说明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资产负债率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82.0%；2026年6月末</w:t>
            </w:r>
          </w:p>
        </w:tc>
        <w:tc>
          <w:tcPr>
            <w:tcW w:type="dxa" w:w="1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关注</w:t>
            </w:r>
          </w:p>
        </w:tc>
        <w:tc>
          <w:tcPr>
            <w:tcW w:type="dxa" w:w="4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杠杆偏高，短期借款及一年内到期负债约100.24亿元，高于货币资金。</w:t>
            </w:r>
          </w:p>
        </w:tc>
      </w:tr>
      <w:tr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经营现金流/归母净利润</w:t>
            </w:r>
          </w:p>
        </w:tc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-4.41倍；2026H1</w:t>
            </w:r>
          </w:p>
        </w:tc>
        <w:tc>
          <w:tcPr>
            <w:tcW w:type="dxa" w:w="11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关注</w:t>
            </w:r>
          </w:p>
        </w:tc>
        <w:tc>
          <w:tcPr>
            <w:tcW w:type="dxa" w:w="4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经营现金流净额-5.80亿元，明显弱于同期归母净利润。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加权平均ROE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2025年-1.25%；2026H1 3.63%</w:t>
            </w:r>
          </w:p>
        </w:tc>
        <w:tc>
          <w:tcPr>
            <w:tcW w:type="dxa" w:w="1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一般</w:t>
            </w:r>
          </w:p>
        </w:tc>
        <w:tc>
          <w:tcPr>
            <w:tcW w:type="dxa" w:w="4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上半年转正，但年度盈利修复仍需验证。</w:t>
            </w:r>
          </w:p>
        </w:tc>
      </w:tr>
      <w:tr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应收账款周转率</w:t>
            </w:r>
          </w:p>
        </w:tc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约11.09次/年；2026H1年化</w:t>
            </w:r>
          </w:p>
        </w:tc>
        <w:tc>
          <w:tcPr>
            <w:tcW w:type="dxa" w:w="11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一般</w:t>
            </w:r>
          </w:p>
        </w:tc>
        <w:tc>
          <w:tcPr>
            <w:tcW w:type="dxa" w:w="4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为按期初期末余额估算的年化值，受季节性等因素影响。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商誉/归母权益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约2.2%；2026年6月末</w:t>
            </w:r>
          </w:p>
        </w:tc>
        <w:tc>
          <w:tcPr>
            <w:tcW w:type="dxa" w:w="1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良好</w:t>
            </w:r>
          </w:p>
        </w:tc>
        <w:tc>
          <w:tcPr>
            <w:tcW w:type="dxa" w:w="4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商誉占权益比例较低，减值风险相对有限。</w:t>
            </w:r>
          </w:p>
        </w:tc>
      </w:tr>
    </w:tbl>
    <w:p>
      <w:pPr>
        <w:spacing w:before="200"/>
      </w:pP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四、估值与市场预期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4.1 估值水平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2000"/>
        <w:gridCol w:w="2900"/>
        <w:gridCol w:w="2800"/>
      </w:tblGrid>
      <w:tr>
        <w:trPr>
          <w:tblHeader/>
        </w:trPr>
        <w:tc>
          <w:tcPr>
            <w:tcW w:type="dxa" w:w="22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指标</w:t>
            </w:r>
          </w:p>
        </w:tc>
        <w:tc>
          <w:tcPr>
            <w:tcW w:type="dxa" w:w="20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当前</w:t>
            </w:r>
          </w:p>
        </w:tc>
        <w:tc>
          <w:tcPr>
            <w:tcW w:type="dxa" w:w="29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自身历史</w:t>
            </w:r>
          </w:p>
        </w:tc>
        <w:tc>
          <w:tcPr>
            <w:tcW w:type="dxa" w:w="28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同行对比</w:t>
            </w:r>
          </w:p>
        </w:tc>
      </w:tr>
      <w:tr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PE(TTM)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371.23倍</w:t>
            </w:r>
          </w:p>
        </w:tc>
        <w:tc>
          <w:tcPr>
            <w:tcW w:type="dxa" w:w="2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近5.2年86%分位（中位数47.01倍）</w:t>
            </w:r>
          </w:p>
        </w:tc>
        <w:tc>
          <w:tcPr>
            <w:tcW w:type="dxa" w:w="2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约21.71–40.94倍（可比公司，2026-09-18）</w:t>
            </w:r>
          </w:p>
        </w:tc>
      </w:tr>
      <w:tr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PB(MRQ)</w:t>
            </w:r>
          </w:p>
        </w:tc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2.19倍</w:t>
            </w:r>
          </w:p>
        </w:tc>
        <w:tc>
          <w:tcPr>
            <w:tcW w:type="dxa" w:w="2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近5.2年78%分位（中位数1.88倍）</w:t>
            </w:r>
          </w:p>
        </w:tc>
        <w:tc>
          <w:tcPr>
            <w:tcW w:type="dxa" w:w="2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约2.48–5.08倍（可比公司，2026-09-18）</w:t>
            </w:r>
          </w:p>
        </w:tc>
      </w:tr>
      <w:tr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PS(TTM)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0.14倍</w:t>
            </w:r>
          </w:p>
        </w:tc>
        <w:tc>
          <w:tcPr>
            <w:tcW w:type="dxa" w:w="2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近5.2年21%分位（中位数0.16倍）</w:t>
            </w:r>
          </w:p>
        </w:tc>
        <w:tc>
          <w:tcPr>
            <w:tcW w:type="dxa" w:w="2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—</w:t>
            </w:r>
          </w:p>
        </w:tc>
      </w:tr>
      <w:tr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股息率</w:t>
            </w:r>
          </w:p>
        </w:tc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0%</w:t>
            </w:r>
          </w:p>
        </w:tc>
        <w:tc>
          <w:tcPr>
            <w:tcW w:type="dxa" w:w="2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—</w:t>
            </w:r>
          </w:p>
        </w:tc>
        <w:tc>
          <w:tcPr>
            <w:tcW w:type="dxa" w:w="2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—</w:t>
            </w:r>
          </w:p>
        </w:tc>
      </w:tr>
    </w:tbl>
    <w:p>
      <w:pPr>
        <w:spacing w:before="200"/>
      </w:pP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估值倍数由程序按2026-09-30收盘数据计算（滚动十二个月口径）</w:t>
      </w:r>
    </w:p>
    <w:p>
      <w:pPr>
        <w:spacing w:after="160" w:line="300"/>
      </w:pPr>
      <w:r>
        <w:rPr>
          <w:sz w:val="22"/>
          <w:szCs w:val="22"/>
        </w:rPr>
        <w:t xml:space="preserve">市场隐含预期：以当前371.23倍市盈率计，若投资者要求年化8%的回报、10年后按15倍市盈率估值，每股收益需年均增长约48.9%（不计分红，偏保守），可与下方一致预期增速对照。</w:t>
      </w:r>
    </w:p>
    <w:p>
      <w:pPr>
        <w:spacing w:after="160" w:line="300"/>
      </w:pPr>
      <w:r>
        <w:rPr>
          <w:sz w:val="22"/>
          <w:szCs w:val="22"/>
        </w:rPr>
        <w:t xml:space="preserve">PE(TTM)371倍处近5.2年86%分位，但2025年亏损、2026H1净利仅1.3亿元，低基数使PE解释力有限；PB2.19倍处78%分位，高于自身中位数1.88倍，而PS仅0.14倍、处21%低分位，反映市场为极薄净利率赋予偏高净利修复溢价。价格隐含每股收益年均增长约48.9%的假设，这一增长须由高毛利特种及装备线缆放量、铜价传导顺畅与减值收敛共同支撑，当前证据不足以支撑该斜率；因无一致预期，估值缺乏机构锚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4.3 机构观点</w:t>
      </w:r>
    </w:p>
    <w:p>
      <w:pPr>
        <w:spacing w:after="160" w:line="300"/>
      </w:pPr>
      <w:r>
        <w:rPr>
          <w:sz w:val="22"/>
          <w:szCs w:val="22"/>
        </w:rPr>
        <w:t xml:space="preserve">无可核实的近期目标价。历史单家目标价为6.82元，国泰海通证券2025年3月10日发布。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1600"/>
        <w:gridCol w:w="2000"/>
        <w:gridCol w:w="3900"/>
      </w:tblGrid>
      <w:tr>
        <w:trPr>
          <w:tblHeader/>
        </w:trPr>
        <w:tc>
          <w:tcPr>
            <w:tcW w:type="dxa" w:w="24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机构</w:t>
            </w:r>
          </w:p>
        </w:tc>
        <w:tc>
          <w:tcPr>
            <w:tcW w:type="dxa" w:w="16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评级</w:t>
            </w:r>
          </w:p>
        </w:tc>
        <w:tc>
          <w:tcPr>
            <w:tcW w:type="dxa" w:w="20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日期</w:t>
            </w:r>
          </w:p>
        </w:tc>
        <w:tc>
          <w:tcPr>
            <w:tcW w:type="dxa" w:w="39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备注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国泰海通证券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增持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2025-03-10</w:t>
            </w:r>
          </w:p>
        </w:tc>
        <w:tc>
          <w:tcPr>
            <w:tcW w:type="dxa" w:w="3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历史目标价6.82元，不代表当前目标价。</w:t>
            </w:r>
          </w:p>
        </w:tc>
      </w:tr>
    </w:tbl>
    <w:p>
      <w:pPr>
        <w:spacing w:before="200"/>
      </w:pP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五、催化剂与近期事件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5.1 未来关键节点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3000"/>
        <w:gridCol w:w="4700"/>
      </w:tblGrid>
      <w:tr>
        <w:trPr>
          <w:tblHeader/>
        </w:trPr>
        <w:tc>
          <w:tcPr>
            <w:tcW w:type="dxa" w:w="22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时间</w:t>
            </w:r>
          </w:p>
        </w:tc>
        <w:tc>
          <w:tcPr>
            <w:tcW w:type="dxa" w:w="30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事件</w:t>
            </w:r>
          </w:p>
        </w:tc>
        <w:tc>
          <w:tcPr>
            <w:tcW w:type="dxa" w:w="47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看点</w:t>
            </w:r>
          </w:p>
        </w:tc>
      </w:tr>
      <w:tr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2026-10-31</w:t>
            </w:r>
          </w:p>
        </w:tc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预约披露2026年三季报</w:t>
            </w:r>
          </w:p>
        </w:tc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关注利润增长是否延续及经营现金流是否改善；利润增速延续且现金流转好偏超预期。</w:t>
            </w:r>
          </w:p>
        </w:tc>
      </w:tr>
      <w:tr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未来约6个月（无明确日期）</w:t>
            </w:r>
          </w:p>
        </w:tc>
        <w:tc>
          <w:tcPr>
            <w:tcW w:type="dxa" w:w="3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超短期融资券注册及发行进度</w:t>
            </w:r>
          </w:p>
        </w:tc>
        <w:tc>
          <w:tcPr>
            <w:tcW w:type="dxa" w:w="47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公司拟申请注册不超过15亿元，尚未核实获准或发行；关注后续公告及实际发行规模。</w:t>
            </w:r>
          </w:p>
        </w:tc>
      </w:tr>
      <w:tr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未来约6个月（无明确日期）</w:t>
            </w:r>
          </w:p>
        </w:tc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拟认定线缆产品后续进展</w:t>
            </w:r>
          </w:p>
        </w:tc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关注两项产品是否正式认定及是否转化为订单；拟认定名单本身不代表量产或收入兑现。</w:t>
            </w:r>
          </w:p>
        </w:tc>
      </w:tr>
    </w:tbl>
    <w:p>
      <w:pPr>
        <w:spacing w:before="200"/>
      </w:pP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5.2 近期重要事件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2026-08-29 半年报确认利润大幅增长（利好）</w:t>
      </w:r>
      <w:r>
        <w:rPr>
          <w:sz w:val="22"/>
          <w:szCs w:val="22"/>
        </w:rPr>
        <w:t xml:space="preserve">：上半年归母净利润1.315亿元、同比增长97.68%，扣非净利润1.157亿元、同比增长100.46%，均落在此前预告区间；经营现金流净额为-5.80亿元且同比走弱，后续需观察现金回收。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2026-08-25 两项线缆产品入选拟认定清单（中性）</w:t>
      </w:r>
      <w:r>
        <w:rPr>
          <w:sz w:val="22"/>
          <w:szCs w:val="22"/>
        </w:rPr>
        <w:t xml:space="preserve">：媒体报道称，公司两项核电相关电缆产品进入江苏省“三首两新”拟认定名单公示。尚属拟认定，不能视为正式认定或新增订单，亦未见省级主管部门原始公示核验。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2026-09-24 安徽电缆采购项目中标报道（中性）</w:t>
      </w:r>
      <w:r>
        <w:rPr>
          <w:sz w:val="22"/>
          <w:szCs w:val="22"/>
        </w:rPr>
        <w:t xml:space="preserve">：第三方报道公司中标电缆采购项目，金额1,424.23万元；相较公司上半年342.71亿元营收规模有限，且缺少采购公示原文及公司公告交叉核实，暂作为订单线索。</w:t>
      </w: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六、多空分歧与风险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6.1 看多理由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H1归母1.315亿元、扣非1.157亿元同比均近+100%，落在此前预告区间，业绩拐点方向明确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电网中标超30亿元、雅江水电供货近1亿元，电气装备用电缆收入+28.45%、毛利率13.09%，高毛利结构在扩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商誉仅占归母权益约2.2%，2025年亏损已收窄约85%，减值包袱边际减轻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6.2 看空理由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H1经营现金流-5.80亿元、为净利润-4.41倍，利润未转化为现金，收现质量存疑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毛利率降至3.65%（同比-0.84pct），占比66%的裸导体毛利率仅0.78%，铜价上涨无法同步传导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PE(TTM)371倍、PB2.19倍处历史86%/78%分位，2026、2027年无机构盈利预测，估值缺乏业绩锚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6.3 其他风险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资产负债率82%，短期借款及一年内到期负债约100.24亿元高于货币资金，融资成本或流动性收紧将直接压缩净利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应收账款余额81.25亿元、坏账准备23.45亿元，进一步补提减值将直接侵蚀利润，2024年恒大系减值已致亏损3亿元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铜等原材料占工业成本97.40%、前五大供应商占采购52.60%，铜价大幅波动或供应集中风险抬升成本并压低毛利率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2025年不分配利润、股息率为0%，在盈利修复兑现前缺乏分红回报，估值缺乏股息支撑</w:t>
      </w: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七、跟踪清单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100"/>
        <w:gridCol w:w="2200"/>
        <w:gridCol w:w="2800"/>
        <w:gridCol w:w="2800"/>
      </w:tblGrid>
      <w:tr>
        <w:trPr>
          <w:tblHeader/>
        </w:trPr>
        <w:tc>
          <w:tcPr>
            <w:tcW w:type="dxa" w:w="21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跟踪指标</w:t>
            </w:r>
          </w:p>
        </w:tc>
        <w:tc>
          <w:tcPr>
            <w:tcW w:type="dxa" w:w="22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当前</w:t>
            </w:r>
          </w:p>
        </w:tc>
        <w:tc>
          <w:tcPr>
            <w:tcW w:type="dxa" w:w="28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验证看多</w:t>
            </w:r>
          </w:p>
        </w:tc>
        <w:tc>
          <w:tcPr>
            <w:tcW w:type="dxa" w:w="28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验证看空</w:t>
            </w:r>
          </w:p>
        </w:tc>
      </w:tr>
      <w:tr>
        <w:tc>
          <w:tcPr>
            <w:tcW w:type="dxa" w:w="2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经营现金流净额</w:t>
            </w:r>
          </w:p>
        </w:tc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2026H1 -5.80亿元</w:t>
            </w:r>
          </w:p>
        </w:tc>
        <w:tc>
          <w:tcPr>
            <w:tcW w:type="dxa" w:w="2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三季报转正或全年回正、收现比改善至1倍附近</w:t>
            </w:r>
          </w:p>
        </w:tc>
        <w:tc>
          <w:tcPr>
            <w:tcW w:type="dxa" w:w="2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三季报仍为负且同比继续走弱</w:t>
            </w:r>
          </w:p>
        </w:tc>
      </w:tr>
      <w:tr>
        <w:tc>
          <w:tcPr>
            <w:tcW w:type="dxa" w:w="21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整体毛利率</w:t>
            </w:r>
          </w:p>
        </w:tc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2026H1约3.65%</w:t>
            </w:r>
          </w:p>
        </w:tc>
        <w:tc>
          <w:tcPr>
            <w:tcW w:type="dxa" w:w="2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回升至4.2%以上并接近2025年的4.22%</w:t>
            </w:r>
          </w:p>
        </w:tc>
        <w:tc>
          <w:tcPr>
            <w:tcW w:type="dxa" w:w="2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继续下滑至3.5%以下</w:t>
            </w:r>
          </w:p>
        </w:tc>
      </w:tr>
      <w:tr>
        <w:tc>
          <w:tcPr>
            <w:tcW w:type="dxa" w:w="2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高毛利产品收入占比</w:t>
            </w:r>
          </w:p>
        </w:tc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电气装备电缆占6.3%，毛利率13.09%</w:t>
            </w:r>
          </w:p>
        </w:tc>
        <w:tc>
          <w:tcPr>
            <w:tcW w:type="dxa" w:w="2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占比升至10%以上且毛利率维持13%以上</w:t>
            </w:r>
          </w:p>
        </w:tc>
        <w:tc>
          <w:tcPr>
            <w:tcW w:type="dxa" w:w="2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占比停滞或毛利率进一步下行</w:t>
            </w:r>
          </w:p>
        </w:tc>
      </w:tr>
      <w:tr>
        <w:tc>
          <w:tcPr>
            <w:tcW w:type="dxa" w:w="21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应收账款与减值</w:t>
            </w:r>
          </w:p>
        </w:tc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余额81.25亿、坏账准备23.45亿</w:t>
            </w:r>
          </w:p>
        </w:tc>
        <w:tc>
          <w:tcPr>
            <w:tcW w:type="dxa" w:w="2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余额下降且无新增单项大额补提</w:t>
            </w:r>
          </w:p>
        </w:tc>
        <w:tc>
          <w:tcPr>
            <w:tcW w:type="dxa" w:w="2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新增补提超2亿元或周转率继续下降</w:t>
            </w:r>
          </w:p>
        </w:tc>
      </w:tr>
    </w:tbl>
    <w:p>
      <w:pPr>
        <w:spacing w:before="200"/>
      </w:pP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八、股价与短线展望（未来一周，情景推演，仅供参考）</w:t>
      </w:r>
    </w:p>
    <w:p>
      <w:pPr>
        <w:spacing w:after="160"/>
      </w:pPr>
      <w:r>
        <w:rPr>
          <w:b/>
          <w:bCs/>
          <w:color w:val="9C5700"/>
          <w:sz w:val="20"/>
          <w:szCs w:val="20"/>
        </w:rPr>
        <w:t xml:space="preserve">⚠️风险提示：以下为基于2026-09-30收盘数据的主观情景推演，权重为启发式相对权重而非统计概率，不构成投资建议。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8.1 技术面概况</w:t>
      </w:r>
    </w:p>
    <w:p>
      <w:pPr>
        <w:spacing w:after="160" w:line="300"/>
      </w:pPr>
      <w:r>
        <w:rPr>
          <w:sz w:val="22"/>
          <w:szCs w:val="22"/>
        </w:rPr>
        <w:t xml:space="preserve">股价收于全部均线下方，MACD负值走弱、RSI6偏低，量能萎缩至近20日均量0.38倍，短线处于弱势低位整理格局。5.69元布林下轨与近20日低点构成第一支撑，上方5.90—6.05元均线密集区为反弹第一道压力，方向选择需量能配合。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3000"/>
        <w:gridCol w:w="4500"/>
      </w:tblGrid>
      <w:tr>
        <w:trPr>
          <w:tblHeader/>
        </w:trPr>
        <w:tc>
          <w:tcPr>
            <w:tcW w:type="dxa" w:w="24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指标</w:t>
            </w:r>
          </w:p>
        </w:tc>
        <w:tc>
          <w:tcPr>
            <w:tcW w:type="dxa" w:w="30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数值</w:t>
            </w:r>
          </w:p>
        </w:tc>
        <w:tc>
          <w:tcPr>
            <w:tcW w:type="dxa" w:w="45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解读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均线（MA5/10/20/60）</w:t>
            </w:r>
          </w:p>
        </w:tc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MA5 5.78</w:t>
            </w:r>
          </w:p>
        </w:tc>
        <w:tc>
          <w:tcPr>
            <w:tcW w:type="dxa" w:w="4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收盘价位于全部均线下方，空头排列</w:t>
            </w:r>
          </w:p>
        </w:tc>
      </w:tr>
      <w:tr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MACD(12,26,9)</w:t>
            </w:r>
          </w:p>
        </w:tc>
        <w:tc>
          <w:tcPr>
            <w:tcW w:type="dxa" w:w="3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DIF -0.099 / DEA -0.05 / 柱 -0.099</w:t>
            </w:r>
          </w:p>
        </w:tc>
        <w:tc>
          <w:tcPr>
            <w:tcW w:type="dxa" w:w="45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负值区运行，柱线较前一日走弱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RSI6／RSI14</w:t>
            </w:r>
          </w:p>
        </w:tc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RSI6 24.3 / RSI14 36.3</w:t>
            </w:r>
          </w:p>
        </w:tc>
        <w:tc>
          <w:tcPr>
            <w:tcW w:type="dxa" w:w="4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短线指标偏弱，存在技术性修复可能</w:t>
            </w:r>
          </w:p>
        </w:tc>
      </w:tr>
      <w:tr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布林带(20,2)</w:t>
            </w:r>
          </w:p>
        </w:tc>
        <w:tc>
          <w:tcPr>
            <w:tcW w:type="dxa" w:w="3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上轨 6.39 / 中轨 6.04 / 下轨 5.69</w:t>
            </w:r>
          </w:p>
        </w:tc>
        <w:tc>
          <w:tcPr>
            <w:tcW w:type="dxa" w:w="45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股价贴近下轨，运行于中轨下方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成交量</w:t>
            </w:r>
          </w:p>
        </w:tc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为近20日均量的0.38倍</w:t>
            </w:r>
          </w:p>
        </w:tc>
        <w:tc>
          <w:tcPr>
            <w:tcW w:type="dxa" w:w="4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量能明显萎缩，交投低迷</w:t>
            </w:r>
          </w:p>
        </w:tc>
      </w:tr>
    </w:tbl>
    <w:p>
      <w:pPr>
        <w:spacing w:before="200"/>
      </w:pP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8.2 关键价位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2200"/>
        <w:gridCol w:w="5900"/>
      </w:tblGrid>
      <w:tr>
        <w:trPr>
          <w:tblHeader/>
        </w:trPr>
        <w:tc>
          <w:tcPr>
            <w:tcW w:type="dxa" w:w="18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位置</w:t>
            </w:r>
          </w:p>
        </w:tc>
        <w:tc>
          <w:tcPr>
            <w:tcW w:type="dxa" w:w="22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区间</w:t>
            </w:r>
          </w:p>
        </w:tc>
        <w:tc>
          <w:tcPr>
            <w:tcW w:type="dxa" w:w="59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说明</w:t>
            </w:r>
          </w:p>
        </w:tc>
      </w:tr>
      <w:tr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短期压力</w:t>
            </w:r>
          </w:p>
        </w:tc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5.90~6.05元</w:t>
            </w:r>
          </w:p>
        </w:tc>
        <w:tc>
          <w:tcPr>
            <w:tcW w:type="dxa" w:w="5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覆盖MA10、MA20/MA60；有效站稳后才可观察6.36元近20日高点</w:t>
            </w:r>
          </w:p>
        </w:tc>
      </w:tr>
      <w:tr>
        <w:tc>
          <w:tcPr>
            <w:tcW w:type="dxa" w:w="1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第一支撑</w:t>
            </w:r>
          </w:p>
        </w:tc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5.65~5.75元</w:t>
            </w:r>
          </w:p>
        </w:tc>
        <w:tc>
          <w:tcPr>
            <w:tcW w:type="dxa" w:w="5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布林下轨5.69元与9月28日近20日低点；失守则打开下探强支撑空间</w:t>
            </w:r>
          </w:p>
        </w:tc>
      </w:tr>
      <w:tr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强支撑</w:t>
            </w:r>
          </w:p>
        </w:tc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5.00~5.20元</w:t>
            </w:r>
          </w:p>
        </w:tc>
        <w:tc>
          <w:tcPr>
            <w:tcW w:type="dxa" w:w="5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对应52周低点5.00元；跌破后现有数据无更低明确支撑可外推</w:t>
            </w:r>
          </w:p>
        </w:tc>
      </w:tr>
    </w:tbl>
    <w:p>
      <w:pPr>
        <w:spacing w:before="200"/>
      </w:pP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8.3 按历史波动率测算的一周区间</w:t>
      </w:r>
    </w:p>
    <w:p>
      <w:pPr>
        <w:spacing w:after="160" w:line="300"/>
      </w:pPr>
      <w:r>
        <w:rPr>
          <w:sz w:val="22"/>
          <w:szCs w:val="22"/>
        </w:rPr>
        <w:t xml:space="preserve">以2026-09-30价格5.71元为基准，用近300个交易日的收益分布（按当前指数加权日波动率约1.9%缩放，保留这只股票自身的大涨大跌频率）推算未来5个交易日的收盘价范围：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3700"/>
        <w:gridCol w:w="4000"/>
      </w:tblGrid>
      <w:tr>
        <w:trPr>
          <w:tblHeader/>
        </w:trPr>
        <w:tc>
          <w:tcPr>
            <w:tcW w:type="dxa" w:w="22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覆盖概率</w:t>
            </w:r>
          </w:p>
        </w:tc>
        <w:tc>
          <w:tcPr>
            <w:tcW w:type="dxa" w:w="37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价格区间</w:t>
            </w:r>
          </w:p>
        </w:tc>
        <w:tc>
          <w:tcPr>
            <w:tcW w:type="dxa" w:w="40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相对基准</w:t>
            </w:r>
          </w:p>
        </w:tc>
      </w:tr>
      <w:tr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约68%</w:t>
            </w:r>
          </w:p>
        </w:tc>
        <w:tc>
          <w:tcPr>
            <w:tcW w:type="dxa" w:w="3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5.5～5.93元</w:t>
            </w:r>
          </w:p>
        </w:tc>
        <w:tc>
          <w:tcPr>
            <w:tcW w:type="dxa" w:w="4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-3.7%～+3.9%</w:t>
            </w:r>
          </w:p>
        </w:tc>
      </w:tr>
      <w:tr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约95%</w:t>
            </w:r>
          </w:p>
        </w:tc>
        <w:tc>
          <w:tcPr>
            <w:tcW w:type="dxa" w:w="37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5.22～6.33元</w:t>
            </w:r>
          </w:p>
        </w:tc>
        <w:tc>
          <w:tcPr>
            <w:tcW w:type="dxa" w:w="4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-8.6%～+10.9%</w:t>
            </w:r>
          </w:p>
        </w:tc>
      </w:tr>
    </w:tbl>
    <w:p>
      <w:pPr>
        <w:spacing w:before="200"/>
      </w:pP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该区间只反映这只股票近期的波动幅度，不含涨跌方向判断；遇到重大公告或大盘急跌，实际走势仍可能超出区间。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8.4 未来一周情景（主观权重，非统计概率）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震荡整理（相对权重较高，约五成）</w:t>
      </w:r>
      <w:r>
        <w:rPr>
          <w:sz w:val="22"/>
          <w:szCs w:val="22"/>
        </w:rPr>
        <w:t xml:space="preserve">：5.55—5.95元。5.69~5.75元支撑暂时有效、成交维持低位、无个股或板块催化；反弹仍受5.90~6.05元均线压力区压制则整理判断不变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偏弱下行（相对权重中等，约三成）</w:t>
      </w:r>
      <w:r>
        <w:rPr>
          <w:sz w:val="22"/>
          <w:szCs w:val="22"/>
        </w:rPr>
        <w:t xml:space="preserve">：5.00—5.60元。收盘有效跌破5.69元后卖压或成交额增加，且电力设备、线缆相关板块走弱；关注5.00~5.20元强支撑，跌破5.00元则52周低点失守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反弹走强（相对权重偏低，约两成）</w:t>
      </w:r>
      <w:r>
        <w:rPr>
          <w:sz w:val="22"/>
          <w:szCs w:val="22"/>
        </w:rPr>
        <w:t xml:space="preserve">：5.90—6.36元。成交配合下收复并站稳6.04元MA20/MA60区域，且市场或相关板块环境改善；其后才可观察6.36元近20日高点压力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8.5 资金与流动性</w:t>
      </w:r>
    </w:p>
    <w:p>
      <w:pPr>
        <w:spacing w:after="160" w:line="300"/>
      </w:pPr>
      <w:r>
        <w:rPr>
          <w:sz w:val="22"/>
          <w:szCs w:val="22"/>
        </w:rPr>
        <w:t xml:space="preserve">9月29—30日成交额约3400万—4200万元、换手率约0.44%—0.53%（9月30日数据为单一第三方来源），处低活跃水平；截至9月29日区间口径成交额约4200万元至2.06亿元。低成交下较大订单更易影响成交价格，但本次未取得盘口深度数据。前十大股东合计持股约47.93%（截至2026-06-30），宝胜集团31.90%及中航机载系统、中航产业投资各3.94%（三者均由航空工业集团控股），安义骏景盛达2.00%，香港中央结算1.66%，未见具名公募、社保或QFII；该结构为6月末截面，至今可能变化。</w:t>
      </w:r>
    </w:p>
    <w:p>
      <w:pPr>
        <w:spacing w:after="160" w:line="300"/>
      </w:pPr>
      <w:r>
        <w:rPr>
          <w:sz w:val="22"/>
          <w:szCs w:val="22"/>
        </w:rPr>
        <w:t xml:space="preserve">若后续连续两个交易日成交额均达8000万元以上且收盘站上6.04元附近，方可视为量能与关键均线同时改善的确认信号。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以上情景推演基于2026年9月30日收盘数据及历史价格、技术指标测算，短期股价还会受消息面、资金面、大盘环境等多重因素扰动，技术指标本身存在滞后性和局限性，不构成对未来实际走势的保证，也不构成买卖建议，请结合最新市场信息独立判断并自行承担投资风险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数据来源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宝胜股份(600973)_公司公告_宝胜股份：2025年年度报告新浪财经_新浪网 — https://vip.stock.finance.sina.com.cn/corp/view/vCB_AllBulletinDetail.php?id=11995863&amp;stockid=600973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宝胜科技创新股份有限公司2025年年度报告 — https://static.cninfo.com.cn/finalpage/2026-03-14/1225010132.PDF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宝胜股份(600973)_公司公告_宝胜股份：2025年年度报告新浪财经_新浪网 — https://money.finance.sina.com.cn/corp/view/vCB_AllBulletinDetail.php?id=11995863&amp;stockid=600973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中兴华会计师事务所（特殊普通合伙） — https://pdf.dfcfw.com/pdf/H2_AN202411281641108699_1.pdf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宝胜股份(600973)_公司公告_宝胜股份：2024年年度报告新浪财经_新浪网 — https://money.finance.sina.com.cn/corp/view/vCB_AllBulletinDetail.php?id=10785714&amp;stockid=600973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远东股份(600869)_公司公告_远东股份：2025年年度报告新浪财经_新浪网 — https://money.finance.sina.com.cn/corp/view/vCB_AllBulletinDetail.php?id=12132601&amp;stockid=600869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起帆电缆(605222)_公司公告_起帆电缆：2025年度财务决算报告新浪财经_新浪网 — https://money.finance.sina.com.cn/corp/view/vCB_AllBulletinDetail.php?id=12158084&amp;stockid=605222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汉缆股份(002498)_公司公告_汉缆股份：2025年年度报告新浪财经_新浪网 — https://vip.stock.finance.sina.com.cn/corp/view/vCB_AllBulletinDetail.php?id=12243729&amp;stockid=002498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宝胜股份(600973)_公司公告_宝胜股份：2026年半年度报告新浪财经_新浪网 — https://money.finance.sina.com.cn/corp/view/vCB_AllBulletinDetail.php?id=12572737&amp;stockid=600973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公司公告_宝胜股份：2026年半年度业绩预增公告新浪财经_新浪网 — https://vip.stock.finance.sina.com.cn/corp/view/vCB_AllBulletinDetail.php?id=12445348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东方电缆(603606)市盈率|估值|基本面 - 理杏仁 — https://www.lixinger.com/equity/company/detail/sh/603606/603606/fundamental/valuation/pe-ttm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宝胜科技创新股份有限公司2025年年度股东会会议材料 — https://static.cninfo.com.cn/finalpage/2026-04-14/1225097849.PDF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宝胜股份(600973) 盈利预测_F10_同花顺金融服务网 — https://basic.10jqka.com.cn/600973/worth.html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证券代码：600973　　证券简称：宝胜股份　　公告编号：2026-034 — https://static.cninfo.com.cn/finalpage/2026-07-15/1225423962.PDF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宝胜股份两款产品入选江苏省“三首两新”拟认定技术产品清单_新浪财经_新浪网 — https://finance.sina.com.cn/jjxw/2026-08-25/doc-inipnyqu1636527.shtml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宝胜股份（600973）：中标安徽省新路建设工程集团有限责任公司采购项目，中标金额为1424.23万元 - 古东管家 — https://popcj.com/depth/6550502609696209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宝胜股份：关于聘任公司副总经理的公告-公司公告-慧博投研资讯 — https://www.hibor.com.cn/repinfodetail_5284431.html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宝胜股份(600973) - 重大事项备忘 - 股票行情中心 - 搜狐证券 — https://q.stock.sohu.com/cn/600973/bw.shtml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宝胜股份(600973)_公司公告_宝胜股份：关于召开2026年半年度业绩说明会的公告新浪财经_新浪网 — https://vip.stock.finance.sina.com.cn/corp/view/vCB_AllBulletinDetail.php?id=12612875&amp;stockid=600973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宝胜股份(600973) 股本结构_F10_同花顺金融服务网 — https://basic.10jqka.com.cn/600973/equity.html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宝胜股份(600973)_公司公告_宝胜股份：2026年半年度报告新浪财经_新浪网 — https://vip.stock.finance.sina.com.cn/corp/view/vCB_AllBulletinDetail.php?CompanyCode=10001414&amp;gather=1&amp;id=12572737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股票行情快报：宝胜股份（600973）9月29日主力资金净卖出439.08万元_搜狐网 — https://m.sohu.com/a/1082373255_121319643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宝胜股份股票行情｜600973 K线与财务数据｜观势 — https://www.lvzen.top/stock/600973.html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中国证券报 - 宝胜科技创新股份有限公司关于召开2026年半年度业绩说明会的公告 — https://epaper.cs.com.cn/zgzqb/html/2026-09/22/nw.D110000zgzqb_20260922_4-B003.htm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本报告由AI基于公开渠道信息自动检索、整理并生成，信息截至 行情及技术指标截至2026-09-30收盘，可能存在时效性差异，具体数据请以公司正式公告及权威数据终端为准。本报告仅为信息整理与研究参考，不构成任何投资建议，投资者应独立判断并自行承担投资风险。</w:t>
      </w:r>
    </w:p>
    <w:sectPr>
      <w:pgSz w:w="11907" w:h="16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04" w:hanging="288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icrosoft YaHei" w:cs="Microsoft YaHei" w:eastAsia="Microsoft YaHei" w:hAnsi="Microsoft YaHe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Normal">
    <w:name w:val="Normal"/>
    <w:qFormat/>
    <w:rPr>
      <w:rFonts w:ascii="Microsoft YaHei" w:cs="Microsoft YaHei" w:eastAsia="Microsoft YaHei" w:hAnsi="Microsoft YaHei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2026-10-01T12:02:49.911Z</dcterms:created>
  <dcterms:modified xsi:type="dcterms:W3CDTF">2026-10-01T12:02:49.911Z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