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富士康工业互联网股份有限公司（工业富联） (601138)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行业：高端电子制造服务、服务器及数据中心设备ODM/EMS、通信网络设备制造</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数据截至2026年9月11日收盘；部分技术指标及资金数据来自研究纪要所列公开页面，布林带为基于历史收盘价的自算结果，部分数据存在来源口径差异。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工业富联当前最具决策意义的基本面事实是：AI服务器及数据中心业务正成为业绩增长核心。2026年上半年公司实现营业收入5578.61亿元，同比增长54.63%；归属于上市公司股东的净利润237.40亿元，同比增长95.99%，其中云计算业务收入同比增长75.7%，云服务商AI服务器收入同比增长约2.3倍，GPU AI机柜和ASIC AI机柜出货量分别同比增长3.2倍和3倍。2025年云计算业务已贡献收入6026.79亿元，占主营业务收入约66.8%，表明公司收入结构正加速向AI算力基础设施倾斜。</w:t>
      </w:r>
    </w:p>
    <w:p>
      <w:pPr>
        <w:spacing w:after="160" w:line="300"/>
      </w:pPr>
      <w:r>
        <w:rPr>
          <w:sz w:val="22"/>
          <w:szCs w:val="22"/>
        </w:rPr>
        <w:t xml:space="preserve">公司增长规模显著，但制造服务属性仍较强。2025年直接材料成本占3C电子产品总成本92.50%，全年整体毛利率约6.98%，其中云计算业务毛利率5.73%，低于通信及移动网络设备业务的9.28%；2025年经营活动现金流净额仅52.38亿元，同比下降78.01%，应收账款1107.42亿元、存货1509.13亿元，反映AI服务器快速扩张对备货、库存和营运资金形成较大占用。2026年上半年经营现金流改善至73.91亿元，但财务费用同比增加749.91%，仍需关注规模扩张对现金流和融资成本的影响。</w:t>
      </w:r>
    </w:p>
    <w:p>
      <w:pPr>
        <w:spacing w:after="160" w:line="300"/>
      </w:pPr>
      <w:r>
        <w:rPr>
          <w:sz w:val="22"/>
          <w:szCs w:val="22"/>
        </w:rPr>
        <w:t xml:space="preserve">盈利预期与市场估值均已反映较高的AI景气预期。按2026年9月7日数据，公司股价为66.57元，PE-TTM约28.16倍，处于历史PE分位约67.27%的中高位置；截至2026年9月11日收盘价为64.07元，技术上高于MA5、MA10及MA200，但低于MA20和部分中长期指数均线，MACD、Williams %R、ROC等指标偏弱，短线呈现中期支撑尚在、动能不足的混合状态。机构平均预测2026年归母净利润为615.86亿元，但该预测并非公司官方指引，且收入、利润预测区间较宽。</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601138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工业富联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深圳市龙华区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最新完整年度经营资料</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2025年年度报告，披露日期为2026年3月11日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经营数据截至日期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2025年合并营业收入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9028.87亿元，同比增长48.22%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约9012.24亿元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352.86亿元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2025年研发人员及占比</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35784人，占员工总数16.5%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2025年研发费用及占比</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111.51亿元，占营业收入1.24%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全球专利</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截至2025年末超过7448件，覆盖全球18个国家和地区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境外资产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截至2025年末为3271.60亿元，占期末总资产71.71%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云计算：主要包括服务器、存储设备、云服务设备及其精密机构件，重点覆盖AI服务器、GPU/ASIC服务器、高性能计算及数据中心基础设施；2025年收入6026.79亿元，同比增长88.70%，约占主营业务收入66.8%。</w:t>
      </w:r>
    </w:p>
    <w:p>
      <w:pPr>
        <w:pStyle w:val="ListParagraph"/>
        <w:numPr>
          <w:ilvl w:val="0"/>
          <w:numId w:val="2"/>
        </w:numPr>
        <w:spacing w:after="80" w:line="280"/>
      </w:pPr>
      <w:r>
        <w:rPr>
          <w:sz w:val="22"/>
          <w:szCs w:val="22"/>
        </w:rPr>
        <w:t xml:space="preserve">通信及移动网络设备：主要包括网络设备、电信设备、交换机、路由器、通信网络设备高精密机构件，以及智能手机等消费电子产品的精密机构件；2025年收入2978.51亿元，同比增长3.46%，约占主营业务收入33.0%。</w:t>
      </w:r>
    </w:p>
    <w:p>
      <w:pPr>
        <w:pStyle w:val="ListParagraph"/>
        <w:numPr>
          <w:ilvl w:val="0"/>
          <w:numId w:val="2"/>
        </w:numPr>
        <w:spacing w:after="80" w:line="280"/>
      </w:pPr>
      <w:r>
        <w:rPr>
          <w:sz w:val="22"/>
          <w:szCs w:val="22"/>
        </w:rPr>
        <w:t xml:space="preserve">工业互联网：主要包括智能制造、数字化工厂、工业互联网平台和行业解决方案；2025年收入6.94亿元，约占主营业务收入0.01%，规模较小但具有战略协同意义。</w:t>
      </w:r>
    </w:p>
    <w:p>
      <w:pPr>
        <w:pStyle w:val="ListParagraph"/>
        <w:numPr>
          <w:ilvl w:val="0"/>
          <w:numId w:val="2"/>
        </w:numPr>
        <w:spacing w:after="80" w:line="280"/>
      </w:pPr>
      <w:r>
        <w:rPr>
          <w:sz w:val="22"/>
          <w:szCs w:val="22"/>
        </w:rPr>
        <w:t xml:space="preserve">其他制造产品：包括精密工具、工业机器人以及服务器、存储设备和云服务设备相关零组件。公司整体收入仍以3C电子产品及相关硬件制造为主。</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工业富联处于电子信息产业链中游，属于高端电子制造服务、服务器及数据中心设备ODM/EMS、通信网络设备制造环节。公司自身覆盖服务器及机柜系统集成、网络设备制造、精密机构件加工、供应链管理、全球交付及智能制造解决方案；上游主要是芯片、电子元器件、结构件材料及数据中心配套部件，下游主要是全球云服务商、通信设备品牌商、消费电子品牌商及企业级数据中心客户。</w:t>
      </w:r>
    </w:p>
    <w:p>
      <w:pPr>
        <w:pStyle w:val="ListParagraph"/>
        <w:numPr>
          <w:ilvl w:val="0"/>
          <w:numId w:val="2"/>
        </w:numPr>
        <w:spacing w:after="80" w:line="280"/>
      </w:pPr>
      <w:r>
        <w:rPr>
          <w:sz w:val="22"/>
          <w:szCs w:val="22"/>
        </w:rPr>
        <w:t xml:space="preserve">主要采购GPU、CPU、ASIC等核心芯片及服务器主板相关器件，以及内存、存储、光模块、交换芯片、电源、连接器等电子元器件。</w:t>
      </w:r>
    </w:p>
    <w:p>
      <w:pPr>
        <w:pStyle w:val="ListParagraph"/>
        <w:numPr>
          <w:ilvl w:val="0"/>
          <w:numId w:val="2"/>
        </w:numPr>
        <w:spacing w:after="80" w:line="280"/>
      </w:pPr>
      <w:r>
        <w:rPr>
          <w:sz w:val="22"/>
          <w:szCs w:val="22"/>
        </w:rPr>
        <w:t xml:space="preserve">其他采购内容包括服务器机柜、机箱、金属结构件、塑胶件、精密加工件、液冷及散热部件、电源管理系统、线缆、生产设备、辅料、包装材料以及电力、劳务和物流服务。</w:t>
      </w:r>
    </w:p>
    <w:p>
      <w:pPr>
        <w:pStyle w:val="ListParagraph"/>
        <w:numPr>
          <w:ilvl w:val="0"/>
          <w:numId w:val="2"/>
        </w:numPr>
        <w:spacing w:after="80" w:line="280"/>
      </w:pPr>
      <w:r>
        <w:rPr>
          <w:sz w:val="22"/>
          <w:szCs w:val="22"/>
        </w:rPr>
        <w:t xml:space="preserve">2025年3C电子产品成本中，直接材料成本7757.95亿元，占产品总成本92.50%；直接人工、辅料、折旧及摊销成本分别为183.75亿元、88.50亿元和57.65亿元，占比分别为2.19%、1.06%和0.69%。</w:t>
      </w:r>
    </w:p>
    <w:p>
      <w:pPr>
        <w:pStyle w:val="ListParagraph"/>
        <w:numPr>
          <w:ilvl w:val="0"/>
          <w:numId w:val="2"/>
        </w:numPr>
        <w:spacing w:after="80" w:line="280"/>
      </w:pPr>
      <w:r>
        <w:rPr>
          <w:sz w:val="22"/>
          <w:szCs w:val="22"/>
        </w:rPr>
        <w:t xml:space="preserve">公司对一般标准化元器件的议价能力主要来自采购规模和供应链整合；对于GPU、先进AI芯片等关键部件，更接近供应链协同方和大客户项目制造商，通常不具备主导芯片价格的能力。</w:t>
      </w:r>
    </w:p>
    <w:p>
      <w:pPr>
        <w:pStyle w:val="ListParagraph"/>
        <w:numPr>
          <w:ilvl w:val="0"/>
          <w:numId w:val="2"/>
        </w:numPr>
        <w:spacing w:after="80" w:line="280"/>
      </w:pPr>
      <w:r>
        <w:rPr>
          <w:sz w:val="22"/>
          <w:szCs w:val="22"/>
        </w:rPr>
        <w:t xml:space="preserve">2025年前五大供应商采购额约5149.56亿元，占年度采购总额58.36%；公司披露不存在单个供应商采购比例超过50%的情况。该数据为2025年度口径，未披露具体供应商名称，无法据此判断各供应商的具体议价能力。</w:t>
      </w:r>
    </w:p>
    <w:p>
      <w:pPr>
        <w:pStyle w:val="ListParagraph"/>
        <w:numPr>
          <w:ilvl w:val="0"/>
          <w:numId w:val="2"/>
        </w:numPr>
        <w:spacing w:after="80" w:line="280"/>
      </w:pPr>
      <w:r>
        <w:rPr>
          <w:sz w:val="22"/>
          <w:szCs w:val="22"/>
        </w:rPr>
        <w:t xml:space="preserve">下游客户主要包括全球云服务商及数据中心客户、全球通信网络设备品牌商、全球消费电子品牌商，以及采购工业互联网平台、数字化工厂和智能制造解决方案的制造业客户。</w:t>
      </w:r>
    </w:p>
    <w:p>
      <w:pPr>
        <w:pStyle w:val="ListParagraph"/>
        <w:numPr>
          <w:ilvl w:val="0"/>
          <w:numId w:val="2"/>
        </w:numPr>
        <w:spacing w:after="80" w:line="280"/>
      </w:pPr>
      <w:r>
        <w:rPr>
          <w:sz w:val="22"/>
          <w:szCs w:val="22"/>
        </w:rPr>
        <w:t xml:space="preserve">2025年前五大客户销售额约5598.54亿元，占年度销售总额62.01%；公司披露不存在单个客户销售比例超过50%的情况。该数据为2025年度口径，年报未公开前五大客户名称及各客户具体收入占比，无法仅凭公开年报判断单一客户的真实议价能力。</w:t>
      </w:r>
    </w:p>
    <w:p>
      <w:pPr>
        <w:pStyle w:val="ListParagraph"/>
        <w:numPr>
          <w:ilvl w:val="0"/>
          <w:numId w:val="2"/>
        </w:numPr>
        <w:spacing w:after="80" w:line="280"/>
      </w:pPr>
      <w:r>
        <w:rPr>
          <w:sz w:val="22"/>
          <w:szCs w:val="22"/>
        </w:rPr>
        <w:t xml:space="preserve">服务器、交换机等AI基础设施产品采用客户定制和联合开发模式，技术认证、交付能力、规模制造和供应链管理形成一定客户黏性。</w:t>
      </w:r>
    </w:p>
    <w:p>
      <w:pPr>
        <w:pStyle w:val="ListParagraph"/>
        <w:numPr>
          <w:ilvl w:val="0"/>
          <w:numId w:val="2"/>
        </w:numPr>
        <w:spacing w:after="80" w:line="280"/>
      </w:pPr>
      <w:r>
        <w:rPr>
          <w:sz w:val="22"/>
          <w:szCs w:val="22"/>
        </w:rPr>
        <w:t xml:space="preserve">公司主要提供ODM/EMS制造服务，品牌和最终产品定价权更多掌握在云服务商、通信设备品牌商及消费电子品牌商手中；消费电子精密制造还面临客户压价、产品周期波动及品牌客户集中度较高等压力。</w:t>
      </w:r>
    </w:p>
    <w:p>
      <w:pPr>
        <w:pStyle w:val="ListParagraph"/>
        <w:numPr>
          <w:ilvl w:val="0"/>
          <w:numId w:val="2"/>
        </w:numPr>
        <w:spacing w:after="80" w:line="280"/>
      </w:pPr>
      <w:r>
        <w:rPr>
          <w:sz w:val="22"/>
          <w:szCs w:val="22"/>
        </w:rPr>
        <w:t xml:space="preserve">公司不是典型的品牌商或核心芯片供应商，整体处于硬件产业链中游的系统制造与集成环节；行业利润率通常低于芯片设计、芯片制造和软件平台。</w:t>
      </w:r>
    </w:p>
    <w:p>
      <w:pPr>
        <w:pStyle w:val="ListParagraph"/>
        <w:numPr>
          <w:ilvl w:val="0"/>
          <w:numId w:val="2"/>
        </w:numPr>
        <w:spacing w:after="80" w:line="280"/>
      </w:pPr>
      <w:r>
        <w:rPr>
          <w:sz w:val="22"/>
          <w:szCs w:val="22"/>
        </w:rPr>
        <w:t xml:space="preserve">截至2025年12月31日，应收账款1107.42亿元，占年度营业收入约12.27%，约为归母净利润的3.14倍；存货1509.13亿元，占年度营业收入约16.71%；应付账款1379.55亿元，占年度营业成本约16.43%；经营活动现金流净额52.38亿元，同比下降78.01%。年报指出，经营现金流下降主要与AI服务器市场增长及公司备货增加有关。数据表明公司需要为大客户订单准备较多原材料、在制品和成品库存，同时能够利用供应商账期形成一定应付账款融资，AI服务器快速扩张会明显放大营运资金占用和库存波动。</w:t>
      </w:r>
    </w:p>
    <w:p>
      <w:pPr>
        <w:pStyle w:val="ListParagraph"/>
        <w:numPr>
          <w:ilvl w:val="0"/>
          <w:numId w:val="2"/>
        </w:numPr>
        <w:spacing w:after="80" w:line="280"/>
      </w:pPr>
      <w:r>
        <w:rPr>
          <w:sz w:val="22"/>
          <w:szCs w:val="22"/>
        </w:rPr>
        <w:t xml:space="preserve">2025年前五大供应商采购额占年度采购总额58.36%，前五大客户销售额占年度销售总额62.01%；两项数据均为2025年度口径，纪要所列来源主要为公司2025年年度报告相关披露。年报未披露具体客户和供应商名称，且未提供各自具体收入或采购占比，因此无法据此判断单一客户或供应商的真实议价能力。</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约7.26%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约3.92%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公司仍以传统通信、消费电子和一般服务器制造为主，制造服务属性较强，整体利润率偏低。该年度数据为公开财务指标汇总，最终应以公司年度审计报告及交易所公告为准。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约4.41%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和净利率较2022年提升，可能与产品结构改善、精密制造业务占比及成本控制改善有关；该原因属于结合业务变化作出的分析判断，并非年报对各百分点变化的逐项归因。该年度数据来源于公开财务指标汇总，最终应复核年度审计报告。</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约7.28%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约3.82%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AI服务器业务开始快速增长，但AI服务器等大规模制造业务材料成本高、客户定制化强、制造服务利润率相对有限；业务扩张及产品结构变化使毛利率较2023年回落。该年度数据及原因存在纪要所述来源和归因局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约6.98%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I服务器和云计算业务收入大幅增长，云计算业务毛利率5.73%，低于通信及移动网络设备业务毛利率9.28%，收入结构变化压低整体毛利率；规模效应、产品结构升级、AI相关高价值产品增长及费用率变化使净利率较2024年小幅改善。该解释为基于分业务毛利率和收入结构的推断。</w:t>
            </w:r>
          </w:p>
        </w:tc>
      </w:tr>
    </w:tbl>
    <w:p>
      <w:pPr>
        <w:spacing w:before="200"/>
      </w:pPr>
    </w:p>
    <w:p>
      <w:pPr>
        <w:spacing w:after="160" w:line="300"/>
      </w:pPr>
      <w:r>
        <w:rPr>
          <w:sz w:val="22"/>
          <w:szCs w:val="22"/>
        </w:rPr>
        <w:t xml:space="preserve">工业富联位于产业链中游，属于“大规模制造+系统集成+供应链管理”模式，既不是上游芯片和基础资源企业，也不是拥有终端品牌溢价的下游品牌商。其直接材料占产品总成本92.50%，整体毛利率低于芯片、软件和品牌终端企业。进一步提升利润率主要依赖AI服务器、高速交换机、液冷系统、联合设计和工业互联网解决方案等高附加值业务占比提升，以及规模效应、产能利用率提高、关键零部件成本控制和供应链管理改善。工业互联网业务毛利率较高，但当前收入规模较小，对整体利润贡献有限。</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5578.61亿元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同比增长54.63%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237.40亿元（归属于上市公司股东的净利润）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同比增长95.99%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3607.60亿元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121.13亿元（归属于上市公司股东的净利润）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9028.87亿元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同比增长48.22%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352.86亿元（归属于上市公司股东的净利润）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同比增长51.99%</w:t>
            </w:r>
          </w:p>
        </w:tc>
      </w:tr>
    </w:tbl>
    <w:p>
      <w:pPr>
        <w:spacing w:after="200"/>
      </w:pPr>
      <w:r>
        <w:rPr>
          <w:i/>
          <w:iCs/>
          <w:color w:val="595959"/>
          <w:sz w:val="18"/>
          <w:szCs w:val="18"/>
        </w:rPr>
        <w:t xml:space="preserve">2026年半年度报告于2026年8月11日至12日披露，未经审计。2026年上半年扣非归母净利润为229.84亿元，同比增长96.99%；2025年全年扣非归母净利润为341.88亿元，同比增长46.02%。2026年上半年基本每股收益为1.20元，加权平均净资产收益率为13.36%。</w:t>
      </w:r>
    </w:p>
    <w:p>
      <w:pPr>
        <w:spacing w:after="160" w:line="300"/>
      </w:pPr>
      <w:r>
        <w:rPr>
          <w:sz w:val="22"/>
          <w:szCs w:val="22"/>
        </w:rPr>
        <w:t xml:space="preserve">2026年上半年收入和利润均实现较快增长，归母净利润增速明显高于收入增速，主要受AI服务器、GPU/ASIC算力设备及高速网络产品增长驱动。云计算业务收入同比增长75.7%，云服务商AI服务器收入同比增长约2.3倍，GPU AI机柜和ASIC AI机柜出货量分别同比增长3.2倍和3倍。经营活动现金流量净额为73.91亿元，同比增长425.32%；研发费用为49.98亿元，同比下降1.91%；财务费用为19.12亿元，同比增加749.91%。相关业务受云厂商资本开支、客户订单节奏及产品价格变化影响较大，未来业绩可能存在波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同花顺F10截至2026年9月7日的统计，近6个月内共有23家机构预测2026年业绩、22家机构预测2028年业绩。上述数据为机构研报摘录形成的市场预测，不是公司官方指引。2026年营业收入预测区间约为1.31万亿元至1.56万亿元；归母净利润预测区间分别为2026年520.93亿元至667.10亿元、2027年638.20亿元至953.00亿元、2028年754.13亿元至1359.00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机构平均预测约1.47万亿元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机构平均预测615.86亿元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较2025年实际值增长约74.54%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机构平均预测3.10元；预测区间2.63元至3.36元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机构平均预测约2.01万亿元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机构平均预测838.57亿元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机构平均预测4.23元；预测区间3.22元至4.80元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机构平均预测约2.56万亿元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机构平均预测1063.81亿元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机构平均预测5.36元；预测区间3.80元至6.85元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代表性机构评级；EPS预测为2026年至2028年2.89元、3.83元、4.98元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代表性机构评级；EPS预测为3.16元、4.63元、6.38元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代表性机构预测：2026年至2028年EPS为3.15元、4.31元、5.09元；归母净利润为625.68亿元、855.63亿元、1010.05亿元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代表性机构预测：2026年至2028年EPS为3.36元、4.46元、5.34元；归母净利润为667.10亿元、884.72亿元、1059.48亿元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12个月目标价上调至121元，属于单一机构高位目标价</w:t>
            </w:r>
          </w:p>
        </w:tc>
      </w:tr>
    </w:tbl>
    <w:p>
      <w:pPr>
        <w:spacing w:before="200"/>
      </w:pPr>
    </w:p>
    <w:p>
      <w:pPr>
        <w:spacing w:after="160" w:line="300"/>
      </w:pPr>
      <w:r>
        <w:rPr>
          <w:sz w:val="22"/>
          <w:szCs w:val="22"/>
        </w:rPr>
        <w:t xml:space="preserve">截至2026年9月7日收盘，股价为66.57元，总市值约1.32万亿元，PE-TTM为28.16倍，PB为7.52倍，股息率约1.47%。按机构平均EPS预测计算，2026年至2028年预测PE分别约为21.47倍、15.74倍和12.42倍。历史PE-TTM分位点约为67.27%，历史20%、50%、80%分位PE分别约为16.85倍、21.76倍和35.22倍，当前估值高于历史中位数但低于历史80%分位，处于历史中高位。国内机构目标价平均值为82.36元至83.35元，对应较当前股价约23.7%至25.2%的隐含上涨空间；高盛单独给出121元目标价，不宜与国内机构平均目标价直接合并。当前估值包含较高的AI算力景气预期，若云厂商资本开支放缓、客户订单调整、产品价格下降或毛利率改善不及预期，实际盈利和估值中枢可能低于机构预测。</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公司身份确认</w:t>
      </w:r>
    </w:p>
    <w:p>
      <w:pPr>
        <w:spacing w:after="160" w:line="300"/>
      </w:pPr>
      <w:r>
        <w:rPr>
          <w:sz w:val="22"/>
          <w:szCs w:val="22"/>
        </w:rPr>
        <w:t xml:space="preserve">601138.SH = 富士康工业互联网股份有限公司（Foxconn Industrial Internet Co., Ltd.），简称"工业富联"，上交所主板上市，注册地深圳。主营：云计算（AI服务器为主）、通信及移动网络设备、工业互联网三大板块。控股股东为China Galaxy Enterprises Limited（中坚企业有限公司），最终关联方为台湾鸿海精密（2317.TW）。</w:t>
      </w:r>
    </w:p>
    <w:p>
      <w:pPr>
        <w:pStyle w:val="Heading2"/>
        <w:spacing w:after="120" w:before="240"/>
      </w:pPr>
      <w:r>
        <w:rPr>
          <w:b/>
          <w:bCs/>
          <w:color w:val="2E74B5"/>
          <w:sz w:val="24"/>
          <w:szCs w:val="24"/>
        </w:rPr>
        <w:t xml:space="preserve">4.2 2026年半年度业绩预增公告（公告编号2026-033，2026-07-09晚披露，2026-07-10刊载）</w:t>
      </w:r>
    </w:p>
    <w:p>
      <w:pPr>
        <w:spacing w:after="160" w:line="300"/>
      </w:pPr>
      <w:r>
        <w:rPr>
          <w:sz w:val="22"/>
          <w:szCs w:val="22"/>
        </w:rPr>
        <w:t xml:space="preserve">预计2026H1归母净利润234亿～244亿元，同比+93%～+101%；扣非227亿～237亿元，同比+94%～+103%。预计2026Q2单季归母128亿～138亿元，同比+86%～+101%；Q2扣非124亿～134亿元，同比+84%～+99%。上年同期（2025H1）：归母121.13亿元、扣非116.68亿元、EPS 0.61元。公司自述驱动：2026H1云服务商AI服务器营收同比+超230%；800G以上数据中心交换机出货量同比+1.4倍；与大客户联合研发的下一代产品预计下半年逐步量产。媒体强调：这是工业富联半年度净利润首次突破200亿元，创上市以来历史新高。</w:t>
      </w:r>
    </w:p>
    <w:p>
      <w:pPr>
        <w:pStyle w:val="Heading2"/>
        <w:spacing w:after="120" w:before="240"/>
      </w:pPr>
      <w:r>
        <w:rPr>
          <w:b/>
          <w:bCs/>
          <w:color w:val="2E74B5"/>
          <w:sz w:val="24"/>
          <w:szCs w:val="24"/>
        </w:rPr>
        <w:t xml:space="preserve">4.3 2026年半年报（正式披露，2026年8月中旬）</w:t>
      </w:r>
    </w:p>
    <w:p>
      <w:pPr>
        <w:spacing w:after="160" w:line="300"/>
      </w:pPr>
      <w:r>
        <w:rPr>
          <w:sz w:val="22"/>
          <w:szCs w:val="22"/>
        </w:rPr>
        <w:t xml:space="preserve">2026H1营收5578.6亿元，同比+54.6%；归母净利润237.4亿元，同比+96%（落在预告区间234亿～244亿内，验证预告）。参考：2026Q1营收2510.78亿元(+56.52%)，归母105.95亿元(+102.55%)。</w:t>
      </w:r>
    </w:p>
    <w:p>
      <w:pPr>
        <w:pStyle w:val="Heading2"/>
        <w:spacing w:after="120" w:before="240"/>
      </w:pPr>
      <w:r>
        <w:rPr>
          <w:b/>
          <w:bCs/>
          <w:color w:val="2E74B5"/>
          <w:sz w:val="24"/>
          <w:szCs w:val="24"/>
        </w:rPr>
        <w:t xml:space="preserve">4.4 2025年报（背景，2026-03-10披露）</w:t>
      </w:r>
    </w:p>
    <w:p>
      <w:pPr>
        <w:spacing w:after="160" w:line="300"/>
      </w:pPr>
      <w:r>
        <w:rPr>
          <w:sz w:val="22"/>
          <w:szCs w:val="22"/>
        </w:rPr>
        <w:t xml:space="preserve">2025全年营收9028.87亿元，同比+48.22%；归母净利润352.86亿元，同比+51.99%。2025年云计算业务营收6026.79亿元(+88.70%)，通信及移动网络设备2978.51亿元(+3.46%)。</w:t>
      </w:r>
    </w:p>
    <w:p>
      <w:pPr>
        <w:pStyle w:val="Heading2"/>
        <w:spacing w:after="120" w:before="240"/>
      </w:pPr>
      <w:r>
        <w:rPr>
          <w:b/>
          <w:bCs/>
          <w:color w:val="2E74B5"/>
          <w:sz w:val="24"/>
          <w:szCs w:val="24"/>
        </w:rPr>
        <w:t xml:space="preserve">4.5 股份回购方案（董事会2026-07-27通过，2026-07-28披露；董事会决议公告2026-035、回购报告书2026-036）</w:t>
      </w:r>
    </w:p>
    <w:p>
      <w:pPr>
        <w:spacing w:after="160" w:line="300"/>
      </w:pPr>
      <w:r>
        <w:rPr>
          <w:sz w:val="22"/>
          <w:szCs w:val="22"/>
        </w:rPr>
        <w:t xml:space="preserve">金额：不低于10亿元、不超过20亿元（含），自有资金，集中竞价交易。价格上限：103元/股（已按每股派息0.65元下调；调整前为103.65元/股）。数量测算：约971万～1942万股，占总股本约0.05%～0.10%。期限：2026-07-27至2026-10-26（董事会通过之日起3个月）。用途：维护公司价值及股东权益，所回购股份用于出售，逾期未出售部分依法注销。触发背景：公告称公司"近期连续二十个交易日内股票收盘价跌幅累计达到20%"。减持承诺：截至董事会通过日，董监高、控股股东及一致行动人、持股5%以上股东在未来3个月及6个月内均无减持计划。</w:t>
      </w:r>
    </w:p>
    <w:p>
      <w:pPr>
        <w:pStyle w:val="Heading2"/>
        <w:spacing w:after="120" w:before="240"/>
      </w:pPr>
      <w:r>
        <w:rPr>
          <w:b/>
          <w:bCs/>
          <w:color w:val="2E74B5"/>
          <w:sz w:val="24"/>
          <w:szCs w:val="24"/>
        </w:rPr>
        <w:t xml:space="preserve">4.6 回购实施进展（截至2026年9月初）</w:t>
      </w:r>
    </w:p>
    <w:p>
      <w:pPr>
        <w:spacing w:after="160" w:line="300"/>
      </w:pPr>
      <w:r>
        <w:rPr>
          <w:sz w:val="22"/>
          <w:szCs w:val="22"/>
        </w:rPr>
        <w:t xml:space="preserve">首次回购：2026-08-19，回购241.44万股(占总股本0.01%)，价格区间61.35～61.97元/股，金额约1.49亿元（公告2026-043，2026-08-20披露）。月度进展：2026年8月单月回购1401.0229万股(0.07%)，价格区间59.91～66.40元/股，金额8.867亿元。累计（截至2026-08-31）：累计回购1401.02万股(0.07%)，金额约8.87亿元（公告2026-044，2026-09-03披露）。历史累计：公司称上市以来累计回购超22亿元、累计现金分红760亿元（媒体口径，非公告直接数字，单一来源，仅供参考）。</w:t>
      </w:r>
    </w:p>
    <w:p>
      <w:pPr>
        <w:pStyle w:val="Heading2"/>
        <w:spacing w:after="120" w:before="240"/>
      </w:pPr>
      <w:r>
        <w:rPr>
          <w:b/>
          <w:bCs/>
          <w:color w:val="2E74B5"/>
          <w:sz w:val="24"/>
          <w:szCs w:val="24"/>
        </w:rPr>
        <w:t xml:space="preserve">4.7 上一轮回购（背景）</w:t>
      </w:r>
    </w:p>
    <w:p>
      <w:pPr>
        <w:spacing w:after="160" w:line="300"/>
      </w:pPr>
      <w:r>
        <w:rPr>
          <w:sz w:val="22"/>
          <w:szCs w:val="22"/>
        </w:rPr>
        <w:t xml:space="preserve">上一轮回购实施截止日2026-03-31，回购金额合计约5亿元，用途为减少注册资本（来源：中国基金报，单一来源，建议以公告核实）。</w:t>
      </w:r>
    </w:p>
    <w:p>
      <w:pPr>
        <w:pStyle w:val="Heading2"/>
        <w:spacing w:after="120" w:before="240"/>
      </w:pPr>
      <w:r>
        <w:rPr>
          <w:b/>
          <w:bCs/>
          <w:color w:val="2E74B5"/>
          <w:sz w:val="24"/>
          <w:szCs w:val="24"/>
        </w:rPr>
        <w:t xml:space="preserve">4.8 2025年年度权益分派实施公告（公告2026-034，2026-07-23/24披露）</w:t>
      </w:r>
    </w:p>
    <w:p>
      <w:pPr>
        <w:spacing w:after="160" w:line="300"/>
      </w:pPr>
      <w:r>
        <w:rPr>
          <w:sz w:val="22"/>
          <w:szCs w:val="22"/>
        </w:rPr>
        <w:t xml:space="preserve">每10股派现金红利6.5元（含税），即0.65元/股；股权登记日2026-07-31，除权除息日2026-08-03；以总股本19,844,092,284股为基数，共计派发约129.0亿元（12,898,659,984.60元）。2025年度合计现金分红194.51亿元，占2025年归母净利润55.12%（含此前65.5亿元中期分红）。提示：分红实施导致总股本由19,858,195,781股调整为19,844,092,284股（含回购股份注销），故最终派发额相应调整。</w:t>
      </w:r>
    </w:p>
    <w:p>
      <w:pPr>
        <w:pStyle w:val="Heading2"/>
        <w:spacing w:after="120" w:before="240"/>
      </w:pPr>
      <w:r>
        <w:rPr>
          <w:b/>
          <w:bCs/>
          <w:color w:val="2E74B5"/>
          <w:sz w:val="24"/>
          <w:szCs w:val="24"/>
        </w:rPr>
        <w:t xml:space="preserve">4.9 董事会换届（2026年第一次临时股东会，2026-07-07）</w:t>
      </w:r>
    </w:p>
    <w:p>
      <w:pPr>
        <w:spacing w:after="160" w:line="300"/>
      </w:pPr>
      <w:r>
        <w:rPr>
          <w:sz w:val="22"/>
          <w:szCs w:val="22"/>
        </w:rPr>
        <w:t xml:space="preserve">审议董事会换届选举：郑弘孟、黄德才、杨秋瑾、许兴仁、丁肇邦当选第四届非独立董事；李昕、李丹、廖翠萍当选独立董事（应选5名非独立+3名独立）；同时审议《董事、高级管理人员薪酬管理制度》修订。公告编号2026-029（通知）。后续：第四届董事会第二次会议于2026-07-27以书面传签召开，9名董事全票通过回购议案。</w:t>
      </w:r>
    </w:p>
    <w:p>
      <w:pPr>
        <w:pStyle w:val="Heading2"/>
        <w:spacing w:after="120" w:before="240"/>
      </w:pPr>
      <w:r>
        <w:rPr>
          <w:b/>
          <w:bCs/>
          <w:color w:val="2E74B5"/>
          <w:sz w:val="24"/>
          <w:szCs w:val="24"/>
        </w:rPr>
        <w:t xml:space="preserve">4.10 取消监事会（2025-11-24 2025年第二次临时股东大会）</w:t>
      </w:r>
    </w:p>
    <w:p>
      <w:pPr>
        <w:spacing w:after="160" w:line="300"/>
      </w:pPr>
      <w:r>
        <w:rPr>
          <w:sz w:val="22"/>
          <w:szCs w:val="22"/>
        </w:rPr>
        <w:t xml:space="preserve">通过"取消监事会暨修订《公司章程》"议案、修订股东大会议事规则/董事会议事规则，以及2025年半年度利润分配预案。出席股份占表决权总数89.3253%。</w:t>
      </w:r>
    </w:p>
    <w:p>
      <w:pPr>
        <w:pStyle w:val="Heading2"/>
        <w:spacing w:after="120" w:before="240"/>
      </w:pPr>
      <w:r>
        <w:rPr>
          <w:b/>
          <w:bCs/>
          <w:color w:val="2E74B5"/>
          <w:sz w:val="24"/>
          <w:szCs w:val="24"/>
        </w:rPr>
        <w:t xml:space="preserve">4.11 减持方面</w:t>
      </w:r>
    </w:p>
    <w:p>
      <w:pPr>
        <w:spacing w:after="160" w:line="300"/>
      </w:pPr>
      <w:r>
        <w:rPr>
          <w:sz w:val="22"/>
          <w:szCs w:val="22"/>
        </w:rPr>
        <w:t xml:space="preserve">未见控股股东/董监高减持公告；相反，回购方案中明确相关股东3个月/6个月内无减持计划（截至2026-07-27）。此项检索不完整，未找到实际减持或增持记录。</w:t>
      </w:r>
    </w:p>
    <w:p>
      <w:pPr>
        <w:pStyle w:val="Heading2"/>
        <w:spacing w:after="120" w:before="240"/>
      </w:pPr>
      <w:r>
        <w:rPr>
          <w:b/>
          <w:bCs/>
          <w:color w:val="2E74B5"/>
          <w:sz w:val="24"/>
          <w:szCs w:val="24"/>
        </w:rPr>
        <w:t xml:space="preserve">4.12 增加2025年度日常关联交易额度公告（公告临2025-089，2025-12-30披露）</w:t>
      </w:r>
    </w:p>
    <w:p>
      <w:pPr>
        <w:spacing w:after="160" w:line="300"/>
      </w:pPr>
      <w:r>
        <w:rPr>
          <w:sz w:val="22"/>
          <w:szCs w:val="22"/>
        </w:rPr>
        <w:t xml:space="preserve">2025-12-27第三届董事会第三十次会议通过，增加公司与鸿海精密及其子公司/合(联)营企业的日常关联交易额度（向关联方销售商品、向关联方采购商品）。无需股东会审议，7票全票通过。关联方鸿海精密（2317.TW）截至2025-09-30总资产新台币4,894,454,915千元、净资产1,636,166,359千元、营收5,496,732,736千元、归母净利润144,141,397千元；鸿海精密间接持有公司控股股东China Galaxy Enterprises Limited 100%权益。</w:t>
      </w:r>
    </w:p>
    <w:p>
      <w:pPr>
        <w:pStyle w:val="Heading2"/>
        <w:spacing w:after="120" w:before="240"/>
      </w:pPr>
      <w:r>
        <w:rPr>
          <w:b/>
          <w:bCs/>
          <w:color w:val="2E74B5"/>
          <w:sz w:val="24"/>
          <w:szCs w:val="24"/>
        </w:rPr>
        <w:t xml:space="preserve">4.13 传闻澄清/投资者关系（2025-11-14 业绩说明会）</w:t>
      </w:r>
    </w:p>
    <w:p>
      <w:pPr>
        <w:spacing w:after="160" w:line="300"/>
      </w:pPr>
      <w:r>
        <w:rPr>
          <w:sz w:val="22"/>
          <w:szCs w:val="22"/>
        </w:rPr>
        <w:t xml:space="preserve">针对市场"订单或展望下调"传闻，公司回应"未发布任何相关口径，现有客户项目进度与交付节奏正常"，并称新品推进顺利、无需过度解读市场传闻。单一来源，属公司口头回应，非公告。</w:t>
      </w:r>
    </w:p>
    <w:p>
      <w:pPr>
        <w:pStyle w:val="Heading2"/>
        <w:spacing w:after="120" w:before="240"/>
      </w:pPr>
      <w:r>
        <w:rPr>
          <w:b/>
          <w:bCs/>
          <w:color w:val="2E74B5"/>
          <w:sz w:val="24"/>
          <w:szCs w:val="24"/>
        </w:rPr>
        <w:t xml:space="preserve">4.14 资金流向/股价（与消息面相关的市场反应，非公告）</w:t>
      </w:r>
    </w:p>
    <w:p>
      <w:pPr>
        <w:spacing w:after="160" w:line="300"/>
      </w:pPr>
      <w:r>
        <w:rPr>
          <w:sz w:val="22"/>
          <w:szCs w:val="22"/>
        </w:rPr>
        <w:t xml:space="preserve">2026-07-27收盘61.55元，总市值约1.22万亿元（同日发布回购公告）。2026-08-19收盘61.83元，当日跌6.6%，市值约1.23万亿元；当晚披露首次回购。2026-09-11：主力资金净卖出1.34亿元（单一来源，属第三方资金流统计，建议以多源交叉）。以上价格为媒体转述，非直接读取行情源，且为特定日期快照；具体以交易所行情为准。</w:t>
      </w:r>
    </w:p>
    <w:p>
      <w:pPr>
        <w:pStyle w:val="Heading2"/>
        <w:spacing w:after="120" w:before="240"/>
      </w:pPr>
      <w:r>
        <w:rPr>
          <w:b/>
          <w:bCs/>
          <w:color w:val="2E74B5"/>
          <w:sz w:val="24"/>
          <w:szCs w:val="24"/>
        </w:rPr>
        <w:t xml:space="preserve">4.15 机构观点（供消息面背景，属预测非公告）</w:t>
      </w:r>
    </w:p>
    <w:p>
      <w:pPr>
        <w:spacing w:after="160" w:line="300"/>
      </w:pPr>
      <w:r>
        <w:rPr>
          <w:sz w:val="22"/>
          <w:szCs w:val="22"/>
        </w:rPr>
        <w:t xml:space="preserve">2026-07-09业绩预告后，华创证券（强推，2026-2028归母645.97/868.66/1094.91亿）、中金（跑赢行业，目标价77.68元，2026/27归母650/898亿）、华泰（买入，目标价93元，2026-2028归母560.1/674.9/779.6亿）等发布点评。21世纪经济报道引Wind：近六个月21家券商预测2026年全年净利润均值612.42亿元，同比+73.56%（多券商一致预期口径）。</w:t>
      </w:r>
    </w:p>
    <w:p>
      <w:pPr>
        <w:pStyle w:val="Heading2"/>
        <w:spacing w:after="120" w:before="240"/>
      </w:pPr>
      <w:r>
        <w:rPr>
          <w:b/>
          <w:bCs/>
          <w:color w:val="2E74B5"/>
          <w:sz w:val="24"/>
          <w:szCs w:val="24"/>
        </w:rPr>
        <w:t xml:space="preserve">4.16 不确定性与待补充项</w:t>
      </w:r>
    </w:p>
    <w:p>
      <w:pPr>
        <w:spacing w:after="160" w:line="300"/>
      </w:pPr>
      <w:r>
        <w:rPr>
          <w:sz w:val="22"/>
          <w:szCs w:val="22"/>
        </w:rPr>
        <w:t xml:space="preserve">1) 检索覆盖不足：因检索轮次限制，以下方向未能充分展开，建议后续补齐——(a) 2026年9月当月的最新公告/新闻；(b) 明确的股东减持或增持公告（本纪要只确认"无减持计划"的承诺，未找到实际减持/增持记录）；(c) 并购/重大资产重组类公告（未检索到相关事项，不代表不存在）；(d) 监管问询/处罚/政策类消息（未检索到针对本公司的监管事项）。2) 单一来源数据需谨慎：上市以来"累计回购超22亿元、累计分红760亿元"、上轮回购"5亿元、截止2026-03-31"、"2026-09-11主力资金净卖出1.34亿元"均为媒体报道或第三方统计，未经公告原文交叉核实。3) 时间口径：本纪要"近期"以2026-07至2026-09初的公告为主；请以"截至"各自标注日期为准，若当前时间已晚于2026-09-11，需重新确认是否已有新的三季报预告、回购进展（每月前3个交易日披露上月末进度）、临时公告等。4) 业绩数字性质区分：2026H1的234亿～244亿为"业绩预告（未经审计）"，237.4亿为"半年报正式披露"；2025年年度分红比例、回购金额均为公司公告事实，机构盈利预测（如612.42亿、650亿等）为预测值而非已披露数据。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股票代码/名称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601138，工业富联</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64.07元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+0.16元 / +0.25%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62.66元 / 64.49元 / 62.50元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约7589.83万股，约75.90万手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约48.26亿元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约0.38%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均约12,714.11亿元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动态市盈率/市盈率TTM/市净率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约26.70倍 / 约27.11倍 / 约7.23倍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最高价84.95元；最低价数据存在来源差异，英为财情页面显示44.22元，其他页面显示47.35元，部分研报曾使用19.01元至84.95元区间</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2026年9月7日至9月11日，收盘价由66.57元回落至64.07元，累计回撤约3.76%；9月11日盘中最低触及62.50元后回升</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呈现急涨后回撤、短线止跌尝试，62.5元附近暂时存在承接，但尚未形成明确趋势反转信号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近20个交易日价格区间</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约60.15元至68.23元；阶段性高点为8月17日，阶段性低点为8月25日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近期波动仍较大，短线处于震荡修复阶段</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63.70元 / 63.90元 / 64.63元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收盘价高于MA5、MA10，低于MA20；短线有所修复，但64.63元附近存在均线压力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64.01元 / 63.52元 / 62.73元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收盘价高于上述均线，中长期支撑尚在，但不代表短线已形成单纯多头排列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EMA5/EMA10/EMA20/EMA50/EMA200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63.84元 / 64.06元 / 64.18元 / 64.08元 / 64.42元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收盘价略高于EMA5、EMA10、EMA20和EMA50附近，但明显低于EMA200；指数均线信号存在分化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48.141，中性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处于中性区域，尚未进入明显超买或超卖区，多空力量相对均衡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-0.11，页面为卖出信号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短线动能仍偏弱，尚未形成明确的多头动能修复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50.856，页面评级为卖出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近期趋势性波动仍存在，但ADX不能单独判断下一方向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56.869，买入信号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处于中性偏强区域，与其他动量指标存在分化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-55.015，卖出信号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动量表现偏弱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CCI(14)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-37.6206，中性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未显示明显超买或超卖状态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0.7879，页面显示波动率相对较低</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短期波动率相对有限，但近期价格仍处于震荡修复状态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ROC</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-2.154，卖出信号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价格动能偏弱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Bull/Bear Power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-0.372，卖出信号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多空力量偏向弱势一侧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布林带（BOLL20,2）</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中轨约63.76元；上轨约67.89元；下轨约59.64元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股价略高于中轨，处于通道中部偏上，但尚未接近上轨；该数据为基于20个收盘价的自算值，可能受计算口径影响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主力资金（证券之星口径）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9月11日超大单净流出约2388.07万元，大单净流出约1.103亿元，合计净流出约1.34亿元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当日股价小幅上涨但主力资金仍净流出，尚不能视为主力资金持续介入；同花顺页面采用另一口径，显示主力资金净流入约1.24亿元，数据存在平台口径差异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近期主力资金变化（证券之星口径）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9月7日净流入约18.68亿元；9月8日净流出约8.01亿元；9月9日净流入约2.38亿元；9月10日净流出约5.19亿元；9月11日净流出约1.34亿元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放量上涨后资金流向反复，持续性尚未得到确认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截至2026年6月30日，前十大股东累计持股约169.26亿股，占总股本约85.28%；股东户数约821,520户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整体股权结构较集中，但前十大股东主要为控股集团关联公司及战略股东，不能将集中度全部理解为公募基金、社保或QFII锁仓；数据距离2026年9月11日已有两个多月，当前结构可能已变化</w:t>
            </w:r>
          </w:p>
        </w:tc>
      </w:tr>
    </w:tbl>
    <w:p>
      <w:pPr>
        <w:spacing w:before="200"/>
      </w:pPr>
    </w:p>
    <w:p>
      <w:pPr>
        <w:spacing w:after="160" w:line="300"/>
      </w:pPr>
      <w:r>
        <w:rPr>
          <w:sz w:val="22"/>
          <w:szCs w:val="22"/>
        </w:rPr>
        <w:t xml:space="preserve">截至2026年9月11日，工业富联股价经历9月7日放量上涨后回撤，当前在64元附近尝试止跌。收盘价重新站上MA5、MA10、MA50、MA100和MA200，但仍低于MA20，且64.2至64.7元区域面临MA20、EMA20及EMA200附近压力。RSI处于中性，MACD、Williams %R、ROC和Bull/Bear Power偏弱，StochRSI及部分均线信号偏强，技术面呈现“中期支撑尚在、短线动能不足”的混合状态。布林带显示股价略高于中轨，但尚未重新进入强趋势上行状态。资金方面，9月7日放量上涨后主力资金流向出现反复，9月11日证券之星口径下主力资金净流出约1.34亿元。综合来看，短线更需要观察63.4至63.9元支撑和64.9至65.7元压力之间的量价变化，不能仅依据单日上涨或单一资金平台数据判断趋势。</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64.90~65.70元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参考9月11日经典枢轴压力、MA20约64.63元及近期价格高点等因素。若有效站上65.0元并伴随成交额放大，下一压力可能上移至66.1~66.9元区域。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63.40~63.90元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对应MA5约63.70元、MA10约63.90元、布林中轨约63.76元及枢轴点附近区域。若持续收盘跌破63.4元，技术形态将重新转弱。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61.80~62.70元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对应9月2日收盘61.80元、9月11日盘中低点62.50元、MA200约62.73元及部分枢轴支撑位。若放量跌破该区域，可能进一步观察布林下轨约59.64元至60.4元区域。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和资金流向的主观启发式判断，不是统计概率）：参考价格区间为63.4~65.7元。触发条件包括股价守住63.4~63.9元支撑区，成交额维持约40亿~70亿元，MACD不出现明显加速下行，且AI算力、通信设备等权重科技板块没有明显集体走弱。</w:t>
      </w:r>
    </w:p>
    <w:p>
      <w:pPr>
        <w:pStyle w:val="ListParagraph"/>
        <w:numPr>
          <w:ilvl w:val="0"/>
          <w:numId w:val="2"/>
        </w:numPr>
        <w:spacing w:after="80" w:line="280"/>
      </w:pPr>
      <w:r>
        <w:rPr>
          <w:sz w:val="22"/>
          <w:szCs w:val="22"/>
        </w:rPr>
        <w:t xml:space="preserve">偏弱下行（权重中等；为主观启发式判断，不是统计概率）：参考价格区间为61.8~63.4元。触发条件包括收盘持续跌破63.4元、主力资金连续净流出、单日成交额放大至70亿元以上但股价收跌，或科技成长板块及大盘权重股同步走弱。若62.5元也被放量跌破，下方可继续观察61.8元至60.4元区域。</w:t>
      </w:r>
    </w:p>
    <w:p>
      <w:pPr>
        <w:pStyle w:val="ListParagraph"/>
        <w:numPr>
          <w:ilvl w:val="0"/>
          <w:numId w:val="2"/>
        </w:numPr>
        <w:spacing w:after="80" w:line="280"/>
      </w:pPr>
      <w:r>
        <w:rPr>
          <w:sz w:val="22"/>
          <w:szCs w:val="22"/>
        </w:rPr>
        <w:t xml:space="preserve">反弹走强（权重偏低至中等；为主观启发式判断，不是统计概率）：参考价格区间为65.0~66.9元。触发条件包括有效突破并站稳64.9~65.0元、单日成交额重新放大至70亿元以上、主力资金由净流出转为连续净流入，以及中际旭创、新易盛、天孚通信等高景气算力及光通信方向同步走强。若放量站稳65.0元，短线可观察66.1~66.9元；接近66.7~67.9元区域仍面临近期高点和布林上轨压力。</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9月11日换手率约0.38%，成交额约48.26亿元，近几日成交额约在36.40亿元至115.06亿元之间波动。9月7日放量上涨时成交额约115.06亿元，随后成交额回落，股价从66.57元回撤至64元附近。公司总股本约198.44亿股，流通市值约1.27万亿元；相对于其超大市值，日换手率较低，说明筹码整体换手并不充分，短线价格变化更多体现为权重资金和板块资金的边际交易，而非广泛筹码的大规模交换。股东数据方面，截至2026年6月30日，股东户数约82.15万户，前十大股东合计持股约85.28%，主要为控股集团关联公司及战略股东；该数据存在季度滞后，不能完全代表2026年9月11日的当前筹码结构。股东户数较2026年3月末增加约13.7%，显示市场参与者有所扩散，但总体股权结构仍较集中。</w:t>
      </w:r>
    </w:p>
    <w:p>
      <w:pPr>
        <w:spacing w:after="160" w:line="300"/>
      </w:pPr>
      <w:r>
        <w:rPr>
          <w:sz w:val="22"/>
          <w:szCs w:val="22"/>
        </w:rPr>
        <w:t xml:space="preserve">可检查的量能确认信号是：若后续单日成交额连续达到70亿元以上，同时股价收盘站上65.0元，且主力资金连续净流入，可视为短线资金参与度明显恢复的信号；若成交额放大但股价收跌，则更可能代表抛压释放，不宜单独解读为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观察64.9~65.7元压力区能否被放量突破；该内容为观察思路，非操作指令。</w:t>
      </w:r>
    </w:p>
    <w:p>
      <w:pPr>
        <w:pStyle w:val="ListParagraph"/>
        <w:numPr>
          <w:ilvl w:val="0"/>
          <w:numId w:val="2"/>
        </w:numPr>
        <w:spacing w:after="80" w:line="280"/>
      </w:pPr>
      <w:r>
        <w:rPr>
          <w:sz w:val="22"/>
          <w:szCs w:val="22"/>
        </w:rPr>
        <w:t xml:space="preserve">观察63.4~63.9元区域能否缩量企稳；该内容为观察思路，非操作指令。</w:t>
      </w:r>
    </w:p>
    <w:p>
      <w:pPr>
        <w:pStyle w:val="ListParagraph"/>
        <w:numPr>
          <w:ilvl w:val="0"/>
          <w:numId w:val="2"/>
        </w:numPr>
        <w:spacing w:after="80" w:line="280"/>
      </w:pPr>
      <w:r>
        <w:rPr>
          <w:sz w:val="22"/>
          <w:szCs w:val="22"/>
        </w:rPr>
        <w:t xml:space="preserve">若62.5~62.7元附近被放量跌破，关注向61.8元及约60元附近回探的风险；该内容为观察思路，非操作指令。</w:t>
      </w:r>
    </w:p>
    <w:p>
      <w:pPr>
        <w:pStyle w:val="ListParagraph"/>
        <w:numPr>
          <w:ilvl w:val="0"/>
          <w:numId w:val="2"/>
        </w:numPr>
        <w:spacing w:after="80" w:line="280"/>
      </w:pPr>
      <w:r>
        <w:rPr>
          <w:sz w:val="22"/>
          <w:szCs w:val="22"/>
        </w:rPr>
        <w:t xml:space="preserve">观察成交额能否持续放大至70亿元以上，并与主力资金连续净流入同步出现；该内容为观察思路，非操作指令。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工业富联所在行业覆盖AI服务器和数据中心设备、高速交换机和AI网络、传统消费电子精密制造及工业互联网。行业核心驱动力包括生成式AI、大模型训练与推理、云服务商资本开支、数据中心网络升级及制造业数字化转型。2025年公司年报认为，全球AI服务器需求持续增长，液冷等高效散热技术加速普及，AI基础设施正由通用计算向高性能计算演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AI服务器和数据中心设备客户集中于全球大型云服务商和科技品牌商，产品高度定制化，需要长期认证和联合开发；GPU、ASIC、HBM、网络芯片和液冷系统是关键供应链环节。</w:t>
      </w:r>
    </w:p>
    <w:p>
      <w:pPr>
        <w:pStyle w:val="ListParagraph"/>
        <w:numPr>
          <w:ilvl w:val="0"/>
          <w:numId w:val="2"/>
        </w:numPr>
        <w:spacing w:after="80" w:line="280"/>
      </w:pPr>
      <w:r>
        <w:rPr>
          <w:sz w:val="22"/>
          <w:szCs w:val="22"/>
        </w:rPr>
        <w:t xml:space="preserve">AI基础设施制造的核心竞争因素包括制造规模、交付速度、全球布局、质量控制、供应链管理和客户协同开发，行业利润率通常低于芯片设计、芯片制造和软件平台。</w:t>
      </w:r>
    </w:p>
    <w:p>
      <w:pPr>
        <w:pStyle w:val="ListParagraph"/>
        <w:numPr>
          <w:ilvl w:val="0"/>
          <w:numId w:val="2"/>
        </w:numPr>
        <w:spacing w:after="80" w:line="280"/>
      </w:pPr>
      <w:r>
        <w:rPr>
          <w:sz w:val="22"/>
          <w:szCs w:val="22"/>
        </w:rPr>
        <w:t xml:space="preserve">高速交换机领域正向400G、800G甚至1.6T升级，Ethernet、InfiniBand、NVLink Switch、CPO/NPO等技术路线并存；竞争因素包括高速率产品研发、网络芯片适配、光电互联、散热设计、可靠性认证及大规模交付能力。</w:t>
      </w:r>
    </w:p>
    <w:p>
      <w:pPr>
        <w:pStyle w:val="ListParagraph"/>
        <w:numPr>
          <w:ilvl w:val="0"/>
          <w:numId w:val="2"/>
        </w:numPr>
        <w:spacing w:after="80" w:line="280"/>
      </w:pPr>
      <w:r>
        <w:rPr>
          <w:sz w:val="22"/>
          <w:szCs w:val="22"/>
        </w:rPr>
        <w:t xml:space="preserve">传统消费电子精密制造市场相对成熟，竞争主要依靠大客户份额、精密加工工艺、良率、自动化程度和成本控制，同时面临客户压价、产品周期波动和品牌客户集中度较高等因素影响。</w:t>
      </w:r>
    </w:p>
    <w:p>
      <w:pPr>
        <w:pStyle w:val="ListParagraph"/>
        <w:numPr>
          <w:ilvl w:val="0"/>
          <w:numId w:val="2"/>
        </w:numPr>
        <w:spacing w:after="80" w:line="280"/>
      </w:pPr>
      <w:r>
        <w:rPr>
          <w:sz w:val="22"/>
          <w:szCs w:val="22"/>
        </w:rPr>
        <w:t xml:space="preserve">工业互联网处于由试点示范向规模化落地过渡阶段，参与者包括工业软件企业、自动化设备商、云平台企业、系统集成商和大型制造企业；工业富联拥有大规模制造场景、内部工厂数据和智能制造经验，但对外收入规模和盈利模式仍需继续验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广达电脑（Quanta Computer）</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服务器、云计算设备、笔记本电脑及电子制造服务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与工业富联均具备全球化制造、服务器ODM能力和大型科技客户资源；广达在服务器和笔记本电脑ODM领域积累深厚，工业富联在通信设备、精密结构件、全球制造及大规模供应链整合方面更综合。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纬颖科技（Wiwynn）</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云数据中心服务器、存储设备和网络设备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均直接受益于全球云服务商资本开支和AI服务器需求；纬颖更聚焦云数据中心硬件ODM，工业富联还覆盖通信网络、消费电子精密机构件和工业互联网。</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英业达（Inventec）</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服务器、笔记本电脑、网络通信和电子制造服务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均属于台系大型ODM/EMS企业，在服务器、通信和消费电子领域存在重叠；工业富联优势更多体现为制造规模、全球基地、精密加工、网络设备及供应链整合。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伟创力（Flex）</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全球电子制造服务、通信设备、汽车电子、工业和医疗电子</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均提供跨区域电子制造、供应链管理、组装测试和客户定制化服务；伟创力业务更加多元化，工业富联目前更加受益于AI服务器、数据中心和通信网络设备景气度。</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捷普（Jabil）</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电子制造服务、通信设备、计算设备、汽车电子、医疗和工业产品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均具备全球化EMS能力、复杂产品制造能力和大型客户服务能力；捷普在多元化工业、医疗和汽车电子领域布局较深，工业富联在AI服务器、网络设备、消费电子精密机构件及富士康制造体系方面更具特色。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其他招股说明书所列竞争对手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综合电子制造服务、通信设备、消费电子及精密结构件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工业富联招股说明书曾将新美亚、可成科技、比亚迪电子、环旭电子等列为主要竞争对手，说明其竞争边界覆盖服务器ODM之外的通信设备、消费电子、精密结构件和综合电子制造服务。</w:t>
            </w:r>
          </w:p>
        </w:tc>
      </w:tr>
    </w:tbl>
    <w:p>
      <w:pPr>
        <w:spacing w:before="200"/>
      </w:pPr>
    </w:p>
    <w:p>
      <w:pPr>
        <w:spacing w:after="160" w:line="300"/>
      </w:pPr>
      <w:r>
        <w:rPr>
          <w:sz w:val="22"/>
          <w:szCs w:val="22"/>
        </w:rPr>
        <w:t xml:space="preserve">工业富联与广达电脑、纬颖科技、英业达在服务器、云计算设备和电子制造服务方面存在重叠，与伟创力、捷普在全球化EMS和供应链管理方面存在可比性。工业富联的差异化优势主要体现为富士康体系下的全球制造基地、精密加工、通信网络设备、消费电子精密机构件及大规模供应链整合能力；相较聚焦云数据中心硬件ODM的纬颖科技，其业务覆盖更广但结构更复杂；相较伟创力和捷普，其当前业绩更加受益于AI服务器、数据中心和通信网络设备景气度。</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AI服务器及数据中心需求依赖全球云服务商资本开支和客户订单节奏。2026年上半年云服务商AI服务器收入同比增长约2.3倍，若云厂商资本开支放缓、客户订单调整或交付节奏变化，公司云计算业务的高增长可能出现较大波动。</w:t>
      </w:r>
    </w:p>
    <w:p>
      <w:pPr>
        <w:pStyle w:val="ListParagraph"/>
        <w:numPr>
          <w:ilvl w:val="0"/>
          <w:numId w:val="2"/>
        </w:numPr>
        <w:spacing w:after="80" w:line="280"/>
      </w:pPr>
      <w:r>
        <w:rPr>
          <w:sz w:val="22"/>
          <w:szCs w:val="22"/>
        </w:rPr>
        <w:t xml:space="preserve">公司收入和客户集中度较高。2025年前五大客户销售额占年度销售总额62.01%，且公司主要提供ODM/EMS制造服务，品牌和最终产品定价权更多掌握在云服务商、通信设备品牌商及消费电子品牌商手中；若核心客户压价、削减采购或改变供应商，公司收入和利润可能受到影响。</w:t>
      </w:r>
    </w:p>
    <w:p>
      <w:pPr>
        <w:pStyle w:val="ListParagraph"/>
        <w:numPr>
          <w:ilvl w:val="0"/>
          <w:numId w:val="2"/>
        </w:numPr>
        <w:spacing w:after="80" w:line="280"/>
      </w:pPr>
      <w:r>
        <w:rPr>
          <w:sz w:val="22"/>
          <w:szCs w:val="22"/>
        </w:rPr>
        <w:t xml:space="preserve">AI服务器业务对营运资金占用较大。2025年末存货1509.13亿元、应收账款1107.42亿元，经营活动现金流净额同比下降78.01%；若订单确认、客户回款或产品迭代不及预期，可能导致库存周转放慢、现金流承压及存货减值风险上升。</w:t>
      </w:r>
    </w:p>
    <w:p>
      <w:pPr>
        <w:pStyle w:val="ListParagraph"/>
        <w:numPr>
          <w:ilvl w:val="0"/>
          <w:numId w:val="2"/>
        </w:numPr>
        <w:spacing w:after="80" w:line="280"/>
      </w:pPr>
      <w:r>
        <w:rPr>
          <w:sz w:val="22"/>
          <w:szCs w:val="22"/>
        </w:rPr>
        <w:t xml:space="preserve">公司材料成本和供应链集中度较高。2025年直接材料占3C电子产品总成本92.50%，前五大供应商采购额占年度采购总额58.36%；GPU、CPU、ASIC、内存、存储、光模块及网络芯片等关键部件的供应变化或价格波动，可能压缩制造利润并影响交付。</w:t>
      </w:r>
    </w:p>
    <w:p>
      <w:pPr>
        <w:pStyle w:val="ListParagraph"/>
        <w:numPr>
          <w:ilvl w:val="0"/>
          <w:numId w:val="2"/>
        </w:numPr>
        <w:spacing w:after="80" w:line="280"/>
      </w:pPr>
      <w:r>
        <w:rPr>
          <w:sz w:val="22"/>
          <w:szCs w:val="22"/>
        </w:rPr>
        <w:t xml:space="preserve">收入高速增长尚未充分转化为高毛利。2025年整体毛利率约6.98%，云计算业务毛利率5.73%，低于通信及移动网络设备业务的9.28%；若AI服务器、机柜及交换机产品价格下降，或规模效应、产品结构升级不及预期，公司净利润增速可能低于收入增速。</w:t>
      </w:r>
    </w:p>
    <w:p>
      <w:pPr>
        <w:pStyle w:val="ListParagraph"/>
        <w:numPr>
          <w:ilvl w:val="0"/>
          <w:numId w:val="2"/>
        </w:numPr>
        <w:spacing w:after="80" w:line="280"/>
      </w:pPr>
      <w:r>
        <w:rPr>
          <w:sz w:val="22"/>
          <w:szCs w:val="22"/>
        </w:rPr>
        <w:t xml:space="preserve">估值对AI业绩兑现程度较为敏感。截至2026年9月7日PE-TTM约28.16倍，处于历史中高位，市场已计入较高的AI算力景气预期；若机构预测的2026年归母净利润约615.86亿元未能兑现，或云计算增速、毛利率和现金流低于预期，估值中枢可能面临调整压力。</w:t>
      </w:r>
    </w:p>
    <w:p>
      <w:pPr>
        <w:pStyle w:val="ListParagraph"/>
        <w:numPr>
          <w:ilvl w:val="0"/>
          <w:numId w:val="2"/>
        </w:numPr>
        <w:spacing w:after="80" w:line="280"/>
      </w:pPr>
      <w:r>
        <w:rPr>
          <w:sz w:val="22"/>
          <w:szCs w:val="22"/>
        </w:rPr>
        <w:t xml:space="preserve">公司境外资产规模较大。截至2025年末境外资产3271.60亿元，占期末总资产71.71%；全球制造、交付及客户布局使公司经营结果可能受到境外运营环境、供应链协调和区域交付条件变化的影响，相关影响在现有数据中无法进一步量化。</w:t>
      </w:r>
    </w:p>
    <w:p>
      <w:pPr>
        <w:pStyle w:val="ListParagraph"/>
        <w:numPr>
          <w:ilvl w:val="0"/>
          <w:numId w:val="2"/>
        </w:numPr>
        <w:spacing w:after="80" w:line="280"/>
      </w:pPr>
      <w:r>
        <w:rPr>
          <w:sz w:val="22"/>
          <w:szCs w:val="22"/>
        </w:rPr>
        <w:t xml:space="preserve">工业互联网业务目前规模有限。2025年工业互联网收入仅6.94亿元，占主营业务收入约0.01%，尽管具备制造场景和内部工厂数据协同优势，但对公司整体收入和利润的实际贡献仍较小，未来商业化规模及盈利模式仍存在验证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工业富联的增长逻辑主要来自全球云服务商资本开支、AI服务器及GPU/ASIC算力设备放量、高速交换机升级，以及公司在全球制造基地、精密机构件、系统集成、供应链管理和客户联合研发方面的综合能力。2026年上半年业绩增速验证了AI基础设施业务的高景气，800G以上数据中心交换机出货量同比增长1.4倍，与大客户联合研发的下一代产品预计于下半年逐步量产，也为后续收入增长提供了产品和客户协同基础。</w:t>
      </w:r>
    </w:p>
    <w:p>
      <w:pPr>
        <w:spacing w:after="160" w:line="300"/>
      </w:pPr>
      <w:r>
        <w:rPr>
          <w:sz w:val="22"/>
          <w:szCs w:val="22"/>
        </w:rPr>
        <w:t xml:space="preserve">不过，公司盈利质量和利润率提升仍取决于产品结构与制造效率，而非单纯收入扩张。云计算业务毛利率低于通信及移动网络设备业务，直接材料占比高，且前五大客户销售额占年度销售总额62.01%、前五大供应商采购额占年度采购总额58.36%；公司在ODM/EMS产业链中游的定价权相对有限。后续需要观察AI服务器、高速交换机、液冷及联合设计产品放量能否带来持续的利润率改善，并同步关注库存、应收账款和经营现金流的变化。</w:t>
      </w:r>
    </w:p>
    <w:p>
      <w:pPr>
        <w:spacing w:after="160" w:line="300"/>
      </w:pPr>
      <w:r>
        <w:rPr>
          <w:sz w:val="22"/>
          <w:szCs w:val="22"/>
        </w:rPr>
        <w:t xml:space="preserve">展望来看，若云厂商AI资本开支、客户订单节奏和下一代产品量产进度持续符合预期，公司业绩仍具备较强增长弹性；若资本开支放缓、客户调整订单或产品价格下降，较高的估值和较低的利润率可能放大业绩波动。技术面上，64.90—65.70元为近期压力区域，63.40—63.90元为第一支撑区域，61.80—62.70元为更强支撑区域，后续量价配合和资金流向可作为观察短线趋势变化的参考，但不能替代对基本面兑现情况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工业富联(601138)_公司公告_工业富联：2025年年度报告新浪财经_新浪网 — https://money.finance.sina.com.cn/corp/view/vCB_AllBulletinDetail.php?id=11990023&amp;stockid=601138</w:t>
      </w:r>
    </w:p>
    <w:p>
      <w:pPr>
        <w:spacing w:after="200"/>
      </w:pPr>
      <w:r>
        <w:rPr>
          <w:i/>
          <w:iCs/>
          <w:color w:val="595959"/>
          <w:sz w:val="18"/>
          <w:szCs w:val="18"/>
        </w:rPr>
        <w:t xml:space="preserve">工业富联(601138)_招股说明明细_工业富联首次公开发行A股股票招股说明书新浪财经_新浪网 — https://money.finance.sina.com.cn/corp/view/vISSUE_RaiseExplanationDetail.php?id=4468966&amp;stockid=601138</w:t>
      </w:r>
    </w:p>
    <w:p>
      <w:pPr>
        <w:spacing w:after="200"/>
      </w:pPr>
      <w:r>
        <w:rPr>
          <w:i/>
          <w:iCs/>
          <w:color w:val="595959"/>
          <w:sz w:val="18"/>
          <w:szCs w:val="18"/>
        </w:rPr>
        <w:t xml:space="preserve">工业富联(601138)_公司公告_工业富联：2026年半年度报告新浪财经_新浪网 — https://money.finance.sina.com.cn/corp/view/vCB_AllBulletinDetail.php?id=12487983&amp;stockid=601138</w:t>
      </w:r>
    </w:p>
    <w:p>
      <w:pPr>
        <w:spacing w:after="200"/>
      </w:pPr>
      <w:r>
        <w:rPr>
          <w:i/>
          <w:iCs/>
          <w:color w:val="595959"/>
          <w:sz w:val="18"/>
          <w:szCs w:val="18"/>
        </w:rPr>
        <w:t xml:space="preserve">工业富联(601138)_公司公告_工业富联：2026年半年度报告新浪财经_新浪网 — https://vip.stock.finance.sina.com.cn/corp/view/vCB_AllBulletinDetail.php?id=12487983&amp;stockid=601138&amp;utm_source=openai</w:t>
      </w:r>
    </w:p>
    <w:p>
      <w:pPr>
        <w:spacing w:after="200"/>
      </w:pPr>
      <w:r>
        <w:rPr>
          <w:i/>
          <w:iCs/>
          <w:color w:val="595959"/>
          <w:sz w:val="18"/>
          <w:szCs w:val="18"/>
        </w:rPr>
        <w:t xml:space="preserve">工业富联(601138)_公司公告_工业富联：2026年半年度报告新浪财经_新浪网 — https://money.finance.sina.com.cn/corp/view/vCB_AllBulletinDetail.php?id=12487983&amp;stockid=601138&amp;utm_source=openai</w:t>
      </w:r>
    </w:p>
    <w:p>
      <w:pPr>
        <w:spacing w:after="200"/>
      </w:pPr>
      <w:r>
        <w:rPr>
          <w:i/>
          <w:iCs/>
          <w:color w:val="595959"/>
          <w:sz w:val="18"/>
          <w:szCs w:val="18"/>
        </w:rPr>
        <w:t xml:space="preserve">工业富联(601138)_公司公告_工业富联：2025年年度报告摘要新浪财经_新浪网 — https://vip.stock.finance.sina.com.cn/corp/view/vCB_AllBulletinDetail.php?id=11990014&amp;stockid=601138&amp;utm_source=openai</w:t>
      </w:r>
    </w:p>
    <w:p>
      <w:pPr>
        <w:spacing w:after="200"/>
      </w:pPr>
      <w:r>
        <w:rPr>
          <w:i/>
          <w:iCs/>
          <w:color w:val="595959"/>
          <w:sz w:val="18"/>
          <w:szCs w:val="18"/>
        </w:rPr>
        <w:t xml:space="preserve">工业富联(601138) 盈利预测_F10_同花顺金融服务网 — https://basic.10jqka.com.cn/601138/worth.html</w:t>
      </w:r>
    </w:p>
    <w:p>
      <w:pPr>
        <w:spacing w:after="200"/>
      </w:pPr>
      <w:r>
        <w:rPr>
          <w:i/>
          <w:iCs/>
          <w:color w:val="595959"/>
          <w:sz w:val="18"/>
          <w:szCs w:val="18"/>
        </w:rPr>
        <w:t xml:space="preserve">机构评级|2家机构更新工业富联评级 — https://stock.10jqka.com.cn/20260515/c676729769.shtml</w:t>
      </w:r>
    </w:p>
    <w:p>
      <w:pPr>
        <w:spacing w:after="200"/>
      </w:pPr>
      <w:r>
        <w:rPr>
          <w:i/>
          <w:iCs/>
          <w:color w:val="595959"/>
          <w:sz w:val="18"/>
          <w:szCs w:val="18"/>
        </w:rPr>
        <w:t xml:space="preserve">工业富联(601138)_研报一览_中财网 — https://quote.cfi.cn/quote.aspx?client=pc&amp;contenttype=ybyl&amp;stockid=75884&amp;utm_source=openai</w:t>
      </w:r>
    </w:p>
    <w:p>
      <w:pPr>
        <w:spacing w:after="200"/>
      </w:pPr>
      <w:r>
        <w:rPr>
          <w:i/>
          <w:iCs/>
          <w:color w:val="595959"/>
          <w:sz w:val="18"/>
          <w:szCs w:val="18"/>
        </w:rPr>
        <w:t xml:space="preserve">工业富联 (601138)股票预测和分析师评级 - 富途牛牛 — https://www.futunn.com/stock/601138-SH/forecast?utm_source=openai</w:t>
      </w:r>
    </w:p>
    <w:p>
      <w:pPr>
        <w:spacing w:after="200"/>
      </w:pPr>
      <w:r>
        <w:rPr>
          <w:i/>
          <w:iCs/>
          <w:color w:val="595959"/>
          <w:sz w:val="18"/>
          <w:szCs w:val="18"/>
        </w:rPr>
        <w:t xml:space="preserve">高盛最新研判：工业富联半年报之后，好戏还在后面_新浪财经_新浪网 — https://finance.sina.com.cn/stock/stockzmt/2026-08-13/doc-inincxku3339005.shtml?utm_source=openai</w:t>
      </w:r>
    </w:p>
    <w:p>
      <w:pPr>
        <w:spacing w:after="200"/>
      </w:pPr>
      <w:r>
        <w:rPr>
          <w:i/>
          <w:iCs/>
          <w:color w:val="595959"/>
          <w:sz w:val="18"/>
          <w:szCs w:val="18"/>
        </w:rPr>
        <w:t xml:space="preserve">工业富联(601138)市盈率|估值|基本面 - 理杏仁 — https://www.lixinger.com/equity/company/detail/sh/601138/601138/fundamental/valuation/pe-ttm</w:t>
      </w:r>
    </w:p>
    <w:p>
      <w:pPr>
        <w:spacing w:after="200"/>
      </w:pPr>
      <w:r>
        <w:rPr>
          <w:i/>
          <w:iCs/>
          <w:color w:val="595959"/>
          <w:sz w:val="18"/>
          <w:szCs w:val="18"/>
        </w:rPr>
        <w:t xml:space="preserve">工业富联(601138.SH)深度F9-PC_HSF9资料 — https://f9.eastmoney.com/hxtc/Index?code=60113801&amp;type=web</w:t>
      </w:r>
    </w:p>
    <w:p>
      <w:pPr>
        <w:spacing w:after="200"/>
      </w:pPr>
      <w:r>
        <w:rPr>
          <w:i/>
          <w:iCs/>
          <w:color w:val="595959"/>
          <w:sz w:val="18"/>
          <w:szCs w:val="18"/>
        </w:rPr>
        <w:t xml:space="preserve">工业富联(sh601138) — https://www.cls.cn/stock?code=sh601138</w:t>
      </w:r>
    </w:p>
    <w:p>
      <w:pPr>
        <w:spacing w:after="200"/>
      </w:pPr>
      <w:r>
        <w:rPr>
          <w:i/>
          <w:iCs/>
          <w:color w:val="595959"/>
          <w:sz w:val="18"/>
          <w:szCs w:val="18"/>
        </w:rPr>
        <w:t xml:space="preserve">601137 博威合金 — https://emweb.securities.eastmoney.com/BusinessAnalysis/Index?code=sh601137</w:t>
      </w:r>
    </w:p>
    <w:p>
      <w:pPr>
        <w:spacing w:after="200"/>
      </w:pPr>
      <w:r>
        <w:rPr>
          <w:i/>
          <w:iCs/>
          <w:color w:val="595959"/>
          <w:sz w:val="18"/>
          <w:szCs w:val="18"/>
        </w:rPr>
        <w:t xml:space="preserve">工业富联上市公司信息 - 工业富联上市公司信息 — https://m.hx168.com.cn/stock/F10/601138.html#1</w:t>
      </w:r>
    </w:p>
    <w:p>
      <w:pPr>
        <w:spacing w:after="200"/>
      </w:pPr>
      <w:r>
        <w:rPr>
          <w:i/>
          <w:iCs/>
          <w:color w:val="595959"/>
          <w:sz w:val="18"/>
          <w:szCs w:val="18"/>
        </w:rPr>
        <w:t xml:space="preserve">工业富联（601138）9月11日主力资金净卖出1.34亿元-证券之星 — https://wap.stockstar.com/detail/RB2026091100030143</w:t>
      </w:r>
    </w:p>
    <w:p>
      <w:pPr>
        <w:spacing w:after="200"/>
      </w:pPr>
      <w:r>
        <w:rPr>
          <w:i/>
          <w:iCs/>
          <w:color w:val="595959"/>
          <w:sz w:val="18"/>
          <w:szCs w:val="18"/>
        </w:rPr>
        <w:t xml:space="preserve">宁波港(601018.SH)经营分析-PC_HSF10资料 — https://emweb.securities.eastmoney.com/BusinessAnalysis/Index?code=sh601018</w:t>
      </w:r>
    </w:p>
    <w:p>
      <w:pPr>
        <w:spacing w:after="200"/>
      </w:pPr>
      <w:r>
        <w:rPr>
          <w:i/>
          <w:iCs/>
          <w:color w:val="595959"/>
          <w:sz w:val="18"/>
          <w:szCs w:val="18"/>
        </w:rPr>
        <w:t xml:space="preserve">AI服务器需求持续成长，工业富联（601138.SH）二季度营收首次突破2000亿元！ — https://m.jiemian.com/article/13159383_sina.html</w:t>
      </w:r>
    </w:p>
    <w:p>
      <w:pPr>
        <w:spacing w:after="200"/>
      </w:pPr>
      <w:r>
        <w:rPr>
          <w:i/>
          <w:iCs/>
          <w:color w:val="595959"/>
          <w:sz w:val="18"/>
          <w:szCs w:val="18"/>
        </w:rPr>
        <w:t xml:space="preserve">重獲資金追逐 工業富聯盤中一度漲停 — http://hkcd.com/hkcdweb/content/2025/09/10/content_8713062.html</w:t>
      </w:r>
    </w:p>
    <w:p>
      <w:pPr>
        <w:spacing w:after="200"/>
      </w:pPr>
      <w:r>
        <w:rPr>
          <w:i/>
          <w:iCs/>
          <w:color w:val="595959"/>
          <w:sz w:val="18"/>
          <w:szCs w:val="18"/>
        </w:rPr>
        <w:t xml:space="preserve">601138 | Foxconn Industrial Internet Co. Ltd. A Profile | MarketWatch - 601138 China: Shanghai — https://www.marketwatch.com/investing/stock/601138/company-profile?countrycode=cn#1</w:t>
      </w:r>
    </w:p>
    <w:p>
      <w:pPr>
        <w:spacing w:after="200"/>
      </w:pPr>
      <w:r>
        <w:rPr>
          <w:i/>
          <w:iCs/>
          <w:color w:val="595959"/>
          <w:sz w:val="18"/>
          <w:szCs w:val="18"/>
        </w:rPr>
        <w:t xml:space="preserve">Foxconn Industrial Internet Co., Ltd.: azionisti, dirigenti e profilo società | 601138 | CNE1000031P3 | MarketScreener Italia - 07e35478766cdbac5e — https://it.marketscreener.com/quotazioni/azione/FOXCONN-INDUSTRIAL-INTERN-44388510/azienda/#1</w:t>
      </w:r>
    </w:p>
    <w:p>
      <w:pPr>
        <w:spacing w:after="200"/>
      </w:pPr>
      <w:r>
        <w:rPr>
          <w:i/>
          <w:iCs/>
          <w:color w:val="595959"/>
          <w:sz w:val="18"/>
          <w:szCs w:val="18"/>
        </w:rPr>
        <w:t xml:space="preserve">中国证券报 - 富士康工业互联网股份有限公司&lt;BR/&gt;关于增加2025年度日常关联交易额度的公告 - | 第B059版：信息披露 | 上一版 下一版 — https://epaper.cs.com.cn/zgzqb/html/2025-12/30/nw.D110000zgzqb_20251230_2-B059.htm#1</w:t>
      </w:r>
    </w:p>
    <w:p>
      <w:pPr>
        <w:spacing w:after="200"/>
      </w:pPr>
      <w:r>
        <w:rPr>
          <w:i/>
          <w:iCs/>
          <w:color w:val="595959"/>
          <w:sz w:val="18"/>
          <w:szCs w:val="18"/>
        </w:rPr>
        <w:t xml:space="preserve">工业富联：2025年净利润同比增长51.99% 拟派发129亿元现金红利 — https://www.dzh.com.cn/index/detail?mod=txs&amp;url=/wap/data/news/txs/2026/03/516170.json</w:t>
      </w:r>
    </w:p>
    <w:p>
      <w:pPr>
        <w:spacing w:after="200"/>
      </w:pPr>
      <w:r>
        <w:rPr>
          <w:i/>
          <w:iCs/>
          <w:color w:val="595959"/>
          <w:sz w:val="18"/>
          <w:szCs w:val="18"/>
        </w:rPr>
        <w:t xml:space="preserve">工业富联:富士康工业互联网股份有限公司第三届董事会第三十次会议决议公告 — https://www.cnfin.com/announ/detail/index.html?id=820341096407&amp;code=601138&amp;dannoun=lcdetail&amp;announ=lc</w:t>
      </w:r>
    </w:p>
    <w:p>
      <w:pPr>
        <w:spacing w:after="200"/>
      </w:pPr>
      <w:r>
        <w:rPr>
          <w:i/>
          <w:iCs/>
          <w:color w:val="595959"/>
          <w:sz w:val="18"/>
          <w:szCs w:val="18"/>
        </w:rPr>
        <w:t xml:space="preserve">工业富联:富士康工业互联网股份有限公司2025年第二次临时股东大会决议公告 _ 工业富联(601138) _ 公告正文 - 工业富联:富士康工业互联网股份有限公司2025年第二次临时股东大会决议公告 查看PDF原文 — https://data.eastmoney.com/notices/detail/601138/AN202511241787537905,JUU1JUI3JUE1JUU0JUI4JTlBJUU1JUFGJThDJUU4JTgxJTk0.html#1</w:t>
      </w:r>
    </w:p>
    <w:p>
      <w:pPr>
        <w:spacing w:after="200"/>
      </w:pPr>
      <w:r>
        <w:rPr>
          <w:i/>
          <w:iCs/>
          <w:color w:val="595959"/>
          <w:sz w:val="18"/>
          <w:szCs w:val="18"/>
        </w:rPr>
        <w:t xml:space="preserve">证券代码：601138 — https://static.cninfo.com.cn/finalpage/2025-04-30/1223421539.PDF#3#1</w:t>
      </w:r>
    </w:p>
    <w:p>
      <w:pPr>
        <w:spacing w:after="200"/>
      </w:pPr>
      <w:r>
        <w:rPr>
          <w:i/>
          <w:iCs/>
          <w:color w:val="595959"/>
          <w:sz w:val="18"/>
          <w:szCs w:val="18"/>
        </w:rPr>
        <w:t xml:space="preserve">工业富联(601138.SH)2025年年度权益分派：每股派利0.65元 — https://www.moomoocn.com/hans/news/post/73423028?level=2&amp;data_ticket=1787338435318835</w:t>
      </w:r>
    </w:p>
    <w:p>
      <w:pPr>
        <w:spacing w:after="200"/>
      </w:pPr>
      <w:r>
        <w:rPr>
          <w:i/>
          <w:iCs/>
          <w:color w:val="595959"/>
          <w:sz w:val="18"/>
          <w:szCs w:val="18"/>
        </w:rPr>
        <w:t xml:space="preserve">富士康工业互联网股份有限公司2025年年度权益分派实施公告 - 行情 — https://finance.sina.com.cn/roll/2026-07-24/doc-iniivpqu9368251.shtml#1</w:t>
      </w:r>
    </w:p>
    <w:p>
      <w:pPr>
        <w:spacing w:after="200"/>
      </w:pPr>
      <w:r>
        <w:rPr>
          <w:i/>
          <w:iCs/>
          <w:color w:val="595959"/>
          <w:sz w:val="18"/>
          <w:szCs w:val="18"/>
        </w:rPr>
        <w:t xml:space="preserve">工业富联: 富士康工业互联网股份有限公司2025年第二次临时股东大会决议公告 - 工业富联: 富士康工业互联网股份有限公司2025年第二次临时股东大会决议公告 — http://stock.stockstar.com/notice/SN2025112400031388.shtml#1</w:t>
      </w:r>
    </w:p>
    <w:p>
      <w:pPr>
        <w:spacing w:after="200"/>
      </w:pPr>
      <w:r>
        <w:rPr>
          <w:i/>
          <w:iCs/>
          <w:color w:val="595959"/>
          <w:sz w:val="18"/>
          <w:szCs w:val="18"/>
        </w:rPr>
        <w:t xml:space="preserve">工業富聯回應“訂單或展望下調”傳聞：未發佈任何相關口徑 現有客户項目進度與交付節奏正常 — https://m.aastocks.com/tc/cnhk/news/china-hot-topic-content.aspx?catg=4&amp;id=GLH2165708L&amp;source=GLH</w:t>
      </w:r>
    </w:p>
    <w:p>
      <w:pPr>
        <w:spacing w:after="200"/>
      </w:pPr>
      <w:r>
        <w:rPr>
          <w:i/>
          <w:iCs/>
          <w:color w:val="595959"/>
          <w:sz w:val="18"/>
          <w:szCs w:val="18"/>
        </w:rPr>
        <w:t xml:space="preserve">工业富联(601138) - 重大事项备忘 - 股票行情中心 — https://q.stock.sohu.com/cn/601138/bw_24.shtml</w:t>
      </w:r>
    </w:p>
    <w:p>
      <w:pPr>
        <w:spacing w:after="200"/>
      </w:pPr>
      <w:r>
        <w:rPr>
          <w:i/>
          <w:iCs/>
          <w:color w:val="595959"/>
          <w:sz w:val="18"/>
          <w:szCs w:val="18"/>
        </w:rPr>
        <w:t xml:space="preserve">工业富联：拟10亿~20亿元回购股份，回购价格不超过103元/股 — https://www.163.com/dy/article/L2S0H4UR05568W0A.html</w:t>
      </w:r>
    </w:p>
    <w:p>
      <w:pPr>
        <w:spacing w:after="200"/>
      </w:pPr>
      <w:r>
        <w:rPr>
          <w:i/>
          <w:iCs/>
          <w:color w:val="595959"/>
          <w:sz w:val="18"/>
          <w:szCs w:val="18"/>
        </w:rPr>
        <w:t xml:space="preserve">中国股票股份回购方案 - 工业富联 - 2026年7月28日 - 同花顺 — https://basic.10jqka.com.cn/601138/#6204905307673317603</w:t>
      </w:r>
    </w:p>
    <w:p>
      <w:pPr>
        <w:spacing w:after="200"/>
      </w:pPr>
      <w:r>
        <w:rPr>
          <w:i/>
          <w:iCs/>
          <w:color w:val="595959"/>
          <w:sz w:val="18"/>
          <w:szCs w:val="18"/>
        </w:rPr>
        <w:t xml:space="preserve">富士康工业互联网股份有限公司关于以集中竞价交易方式回购股份的回购报告书 - 富士康工业互联网股份有限公司 — https://paper.cnstock.com/html/2026-07/28/content_2249055.htm#1</w:t>
      </w:r>
    </w:p>
    <w:p>
      <w:pPr>
        <w:spacing w:after="200"/>
      </w:pPr>
      <w:r>
        <w:rPr>
          <w:i/>
          <w:iCs/>
          <w:color w:val="595959"/>
          <w:sz w:val="18"/>
          <w:szCs w:val="18"/>
        </w:rPr>
        <w:t xml:space="preserve">工业富联(601138.SH)拟10亿元至20亿元回购股份 — https://www.163.com/dy/article/L2S04M7U05198UNI.html</w:t>
      </w:r>
    </w:p>
    <w:p>
      <w:pPr>
        <w:spacing w:after="200"/>
      </w:pPr>
      <w:r>
        <w:rPr>
          <w:i/>
          <w:iCs/>
          <w:color w:val="595959"/>
          <w:sz w:val="18"/>
          <w:szCs w:val="18"/>
        </w:rPr>
        <w:t xml:space="preserve">工业富联:富士康工业互联网股份有限公司第四届董事会第二次会议决议公告_九方智投 — https://www.9fzt.com/detail/sh_601138_9_40c1e26ce7a71f736ea4df0f6b26b7a2.html</w:t>
      </w:r>
    </w:p>
    <w:p>
      <w:pPr>
        <w:spacing w:after="200"/>
      </w:pPr>
      <w:r>
        <w:rPr>
          <w:i/>
          <w:iCs/>
          <w:color w:val="595959"/>
          <w:sz w:val="18"/>
          <w:szCs w:val="18"/>
        </w:rPr>
        <w:t xml:space="preserve">A股万亿龙头！大手笔回购 — https://wap.9fzt.com/article/7ff23f2389673753664a17aa294a72a3-9fztgw_1_top.html</w:t>
      </w:r>
    </w:p>
    <w:p>
      <w:pPr>
        <w:spacing w:after="200"/>
      </w:pPr>
      <w:r>
        <w:rPr>
          <w:i/>
          <w:iCs/>
          <w:color w:val="595959"/>
          <w:sz w:val="18"/>
          <w:szCs w:val="18"/>
        </w:rPr>
        <w:t xml:space="preserve">工业富联(601138):富士康工业互联网股份有限公司第四届董事会第二次会议决议 — https://vipwt1.cfi.net.cn/p20260727000864.html</w:t>
      </w:r>
    </w:p>
    <w:p>
      <w:pPr>
        <w:spacing w:after="200"/>
      </w:pPr>
      <w:r>
        <w:rPr>
          <w:i/>
          <w:iCs/>
          <w:color w:val="595959"/>
          <w:sz w:val="18"/>
          <w:szCs w:val="18"/>
        </w:rPr>
        <w:t xml:space="preserve">工业富联拟回购10亿—20亿元股份 — https://www.chnfund.com/article/AR69e5cd69-cb97-4fb1-01ff-3a22b542d20a</w:t>
      </w:r>
    </w:p>
    <w:p>
      <w:pPr>
        <w:spacing w:after="200"/>
      </w:pPr>
      <w:r>
        <w:rPr>
          <w:i/>
          <w:iCs/>
          <w:color w:val="595959"/>
          <w:sz w:val="18"/>
          <w:szCs w:val="18"/>
        </w:rPr>
        <w:t xml:space="preserve">工业富联:富士康工业互联网股份有限公司关于召开2026年第一次临时股东会的通知_九方智投 - 全球指数 — https://www.9fzt.com/detail/sh_601138_9_7a3a8d0983f382f59748603f21785e52.html#1</w:t>
      </w:r>
    </w:p>
    <w:p>
      <w:pPr>
        <w:spacing w:after="200"/>
      </w:pPr>
      <w:r>
        <w:rPr>
          <w:i/>
          <w:iCs/>
          <w:color w:val="595959"/>
          <w:sz w:val="18"/>
          <w:szCs w:val="18"/>
        </w:rPr>
        <w:t xml:space="preserve">工业富联：预计上半年净利润同比增长93%-101% 800G以上数据中心交换机出货量同比增长1.4倍 - 财联社 — https://api3.cls.cn/share/article/2421831?sv=859&amp;os=web#1</w:t>
      </w:r>
    </w:p>
    <w:p>
      <w:pPr>
        <w:spacing w:after="200"/>
      </w:pPr>
      <w:r>
        <w:rPr>
          <w:i/>
          <w:iCs/>
          <w:color w:val="595959"/>
          <w:sz w:val="18"/>
          <w:szCs w:val="18"/>
        </w:rPr>
        <w:t xml:space="preserve">中国证券报 - 富士康工业互联网股份有限公司&lt;BR/&gt;关于股份回购进展公告 — http://app.cnstock.com/zzb/zgzqb/html/2026-09/03/nw.D110000zgzqb_20260903_4-B017.htm</w:t>
      </w:r>
    </w:p>
    <w:p>
      <w:pPr>
        <w:spacing w:after="200"/>
      </w:pPr>
      <w:r>
        <w:rPr>
          <w:i/>
          <w:iCs/>
          <w:color w:val="595959"/>
          <w:sz w:val="18"/>
          <w:szCs w:val="18"/>
        </w:rPr>
        <w:t xml:space="preserve">601138，首次回购近1.5亿元！A股公司，密集出手 — https://k.sina.com.cn/article_1664176597_633151d501901lpug.html?from=finance</w:t>
      </w:r>
    </w:p>
    <w:p>
      <w:pPr>
        <w:spacing w:after="200"/>
      </w:pPr>
      <w:r>
        <w:rPr>
          <w:i/>
          <w:iCs/>
          <w:color w:val="595959"/>
          <w:sz w:val="18"/>
          <w:szCs w:val="18"/>
        </w:rPr>
        <w:t xml:space="preserve">工业富联首次回购近1.5亿元！A股公司密集出手 - 工业富联首次回购近1.5亿元 — https://finance.eastmoney.com/a/202608193846474065.html#1</w:t>
      </w:r>
    </w:p>
    <w:p>
      <w:pPr>
        <w:spacing w:after="200"/>
      </w:pPr>
      <w:r>
        <w:rPr>
          <w:i/>
          <w:iCs/>
          <w:color w:val="595959"/>
          <w:sz w:val="18"/>
          <w:szCs w:val="18"/>
        </w:rPr>
        <w:t xml:space="preserve">工业富联、阳光电源、美的集团，披露回购进展 — https://www.sfccn.com/2026/9-2/3MMDE1MjBfMjIyODk3MQ.html</w:t>
      </w:r>
    </w:p>
    <w:p>
      <w:pPr>
        <w:spacing w:after="200"/>
      </w:pPr>
      <w:r>
        <w:rPr>
          <w:i/>
          <w:iCs/>
          <w:color w:val="595959"/>
          <w:sz w:val="18"/>
          <w:szCs w:val="18"/>
        </w:rPr>
        <w:t xml:space="preserve">万亿巨头，出手回购！ — https://stcn.com/article/detail/4087872.html</w:t>
      </w:r>
    </w:p>
    <w:p>
      <w:pPr>
        <w:spacing w:after="200"/>
      </w:pPr>
      <w:r>
        <w:rPr>
          <w:i/>
          <w:iCs/>
          <w:color w:val="595959"/>
          <w:sz w:val="18"/>
          <w:szCs w:val="18"/>
        </w:rPr>
        <w:t xml:space="preserve">工业富联第一轮回购落地 斥资约1.49亿元回购241万股 — https://www.cs.com.cn/ssgs/01/2026/08/19/detail_2026081910032443.html</w:t>
      </w:r>
    </w:p>
    <w:p>
      <w:pPr>
        <w:spacing w:after="200"/>
      </w:pPr>
      <w:r>
        <w:rPr>
          <w:i/>
          <w:iCs/>
          <w:color w:val="595959"/>
          <w:sz w:val="18"/>
          <w:szCs w:val="18"/>
        </w:rPr>
        <w:t xml:space="preserve">中国证券报 - 富士康工业互联网股份有限公司关于以集中竞价交易方式首次回购股份的公告 — http://app.cnstock.com/zzb/zgzqb/html/2026-08/20/nw.D110000zgzqb_20260820_3-B013.htm</w:t>
      </w:r>
    </w:p>
    <w:p>
      <w:pPr>
        <w:spacing w:after="200"/>
      </w:pPr>
      <w:r>
        <w:rPr>
          <w:i/>
          <w:iCs/>
          <w:color w:val="595959"/>
          <w:sz w:val="18"/>
          <w:szCs w:val="18"/>
        </w:rPr>
        <w:t xml:space="preserve">AASTOCKS 财经新闻 - 快速报价 — https://www.aastocks.com/sc/cnhk/quote/stock-news/601138/0/cn-stock-news/1#1</w:t>
      </w:r>
    </w:p>
    <w:p>
      <w:pPr>
        <w:spacing w:after="200"/>
      </w:pPr>
      <w:r>
        <w:rPr>
          <w:i/>
          <w:iCs/>
          <w:color w:val="595959"/>
          <w:sz w:val="18"/>
          <w:szCs w:val="18"/>
        </w:rPr>
        <w:t xml:space="preserve">601138，首次回购近1.5亿元！A股公司，密集出手 - 经济新闻滚动 &gt; 正文 — https://finance.sina.com.cn/jjxw/2026-08-19/doc-ininwawq2581413.shtml?cref=cj#1</w:t>
      </w:r>
    </w:p>
    <w:p>
      <w:pPr>
        <w:spacing w:after="200"/>
      </w:pPr>
      <w:r>
        <w:rPr>
          <w:i/>
          <w:iCs/>
          <w:color w:val="595959"/>
          <w:sz w:val="18"/>
          <w:szCs w:val="18"/>
        </w:rPr>
        <w:t xml:space="preserve">601138，首次回购近1.5亿元！A股公司，密集出手-证券之星 — https://4g.stockstar.com/detail/IG2026081900038214</w:t>
      </w:r>
    </w:p>
    <w:p>
      <w:pPr>
        <w:spacing w:after="200"/>
      </w:pPr>
      <w:r>
        <w:rPr>
          <w:i/>
          <w:iCs/>
          <w:color w:val="595959"/>
          <w:sz w:val="18"/>
          <w:szCs w:val="18"/>
        </w:rPr>
        <w:t xml:space="preserve">工业富联(601138)2026年半年度业绩预告点评：AI服务器&amp;高速交换机延续高景气 26H1业绩高增 — http://stock.finance.sina.com.cn/stock/go.php/vReport_Show/kind/lastest/rptid/837054054912/index.phtml</w:t>
      </w:r>
    </w:p>
    <w:p>
      <w:pPr>
        <w:spacing w:after="200"/>
      </w:pPr>
      <w:r>
        <w:rPr>
          <w:i/>
          <w:iCs/>
          <w:color w:val="595959"/>
          <w:sz w:val="18"/>
          <w:szCs w:val="18"/>
        </w:rPr>
        <w:t xml:space="preserve">工业富联：预计2026年上半年净利234亿元-244亿元 同比增长93%-101% — https://newzzbcx.cs.com.cn/cxnews_m.html?random=oXGmrUMd&amp;name=new20260709213059uavdiviq</w:t>
      </w:r>
    </w:p>
    <w:p>
      <w:pPr>
        <w:spacing w:after="200"/>
      </w:pPr>
      <w:r>
        <w:rPr>
          <w:i/>
          <w:iCs/>
          <w:color w:val="595959"/>
          <w:sz w:val="18"/>
          <w:szCs w:val="18"/>
        </w:rPr>
        <w:t xml:space="preserve">工业富联:富士康工业互联网股份有限公司2026年半年度业绩预增公告 _ 工业富联(601138) _ 公告正文 - 工业富联:富士康工业互联网股份有限公司2026年半年度业绩预增公告 查看PDF原文 — https://data.eastmoney.com/notices/detail/601138/AN202607091826847541,%E5%B7%A5%E4%B8%9A%E5%AF%8C%E8%81%94.html#1</w:t>
      </w:r>
    </w:p>
    <w:p>
      <w:pPr>
        <w:spacing w:after="200"/>
      </w:pPr>
      <w:r>
        <w:rPr>
          <w:i/>
          <w:iCs/>
          <w:color w:val="595959"/>
          <w:sz w:val="18"/>
          <w:szCs w:val="18"/>
        </w:rPr>
        <w:t xml:space="preserve">工业富联(601138)：2Q26业绩预告超预期 看好RUBIN机柜/CPO交换机放量 — http://stock.finance.sina.com.cn/stock/go.php/vReport_Show/kind/lastest/rptid/836988778112/index.phtml</w:t>
      </w:r>
    </w:p>
    <w:p>
      <w:pPr>
        <w:spacing w:after="200"/>
      </w:pPr>
      <w:r>
        <w:rPr>
          <w:i/>
          <w:iCs/>
          <w:color w:val="595959"/>
          <w:sz w:val="18"/>
          <w:szCs w:val="18"/>
        </w:rPr>
        <w:t xml:space="preserve">工业富联(601138)：AI推动1H26净利润同比预增93%-101% — http://stock.finance.sina.com.cn/stock/go.php/vReport_Show/kind/search/rptid/837251468847/index.phtml</w:t>
      </w:r>
    </w:p>
    <w:p>
      <w:pPr>
        <w:spacing w:after="200"/>
      </w:pPr>
      <w:r>
        <w:rPr>
          <w:i/>
          <w:iCs/>
          <w:color w:val="595959"/>
          <w:sz w:val="18"/>
          <w:szCs w:val="18"/>
        </w:rPr>
        <w:t xml:space="preserve">工业富联:富士康工业互联网股份有限公司2026年半年度业绩预增公告 — https://www.cnfin.com/announ/detail/index.html?id=836938722971&amp;code=601138&amp;dannoun=lcdetail&amp;announ=lc</w:t>
      </w:r>
    </w:p>
    <w:p>
      <w:pPr>
        <w:spacing w:after="200"/>
      </w:pPr>
      <w:r>
        <w:rPr>
          <w:i/>
          <w:iCs/>
          <w:color w:val="595959"/>
          <w:sz w:val="18"/>
          <w:szCs w:val="18"/>
        </w:rPr>
        <w:t xml:space="preserve">工业富联：2026年半年度净利润预增93%-101% — https://www.chnfund.com/article/8152cc65-b6ef-8c24-41f4-3a22587a878b</w:t>
      </w:r>
    </w:p>
    <w:p>
      <w:pPr>
        <w:spacing w:after="200"/>
      </w:pPr>
      <w:r>
        <w:rPr>
          <w:i/>
          <w:iCs/>
          <w:color w:val="595959"/>
          <w:sz w:val="18"/>
          <w:szCs w:val="18"/>
        </w:rPr>
        <w:t xml:space="preserve">工业富联：预计上半年归母净利234亿-244亿元 云服务商AI服务器营收同比增超230% — https://finance.cnr.cn/ycbd/20260709/t20260709_527700202.shtml</w:t>
      </w:r>
    </w:p>
    <w:p>
      <w:pPr>
        <w:spacing w:after="200"/>
      </w:pPr>
      <w:r>
        <w:rPr>
          <w:i/>
          <w:iCs/>
          <w:color w:val="595959"/>
          <w:sz w:val="18"/>
          <w:szCs w:val="18"/>
        </w:rPr>
        <w:t xml:space="preserve">万亿市值巨头，预增翻倍！ - 万亿市值巨头，预增翻倍！ — https://m.21jingji.com/article/20260709/herald/6bb5de5e9b39e9fd4f947d3b1e711adc.html#1</w:t>
      </w:r>
    </w:p>
    <w:p>
      <w:pPr>
        <w:spacing w:after="200"/>
      </w:pPr>
      <w:r>
        <w:rPr>
          <w:i/>
          <w:iCs/>
          <w:color w:val="595959"/>
          <w:sz w:val="18"/>
          <w:szCs w:val="18"/>
        </w:rPr>
        <w:t xml:space="preserve">上半年预计大赚244亿，工业富联凭什么？ - 上半年预计大赚244亿，工业富联凭什么？ — https://m.21jingji.com/article/20260716/herald/d6c17a7173fdb140fe5d2e51fb84cb5d.html#1</w:t>
      </w:r>
    </w:p>
    <w:p>
      <w:pPr>
        <w:spacing w:after="200"/>
      </w:pPr>
      <w:r>
        <w:rPr>
          <w:i/>
          <w:iCs/>
          <w:color w:val="595959"/>
          <w:sz w:val="18"/>
          <w:szCs w:val="18"/>
        </w:rPr>
        <w:t xml:space="preserve">本报告由AI基于公开渠道信息自动检索、整理并生成，信息截至 数据截至2026年9月11日收盘；部分技术指标及资金数据来自研究纪要所列公开页面，布林带为基于历史收盘价的自算结果，部分数据存在来源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2026-09-13T14:29:13.448Z</dcterms:created>
  <dcterms:modified xsi:type="dcterms:W3CDTF">2026-09-13T14:29:13.448Z</dcterms:modified>
</cp:coreProperties>
</file>

<file path=docProps/custom.xml><?xml version="1.0" encoding="utf-8"?>
<Properties xmlns="http://schemas.openxmlformats.org/officeDocument/2006/custom-properties" xmlns:vt="http://schemas.openxmlformats.org/officeDocument/2006/docPropsVTypes"/>
</file>