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桐昆集团股份有限公司（桐昆股份） (601233)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行业：涤纶长丝及石化一体化</w:t>
      </w:r>
    </w:p>
    <w:p>
      <w:pPr>
        <w:jc w:val="center"/>
      </w:pPr>
      <w:r>
        <w:rPr>
          <w:color w:val="595959"/>
          <w:sz w:val="22"/>
          <w:szCs w:val="22"/>
        </w:rPr>
        <w:t xml:space="preserve">报告日期：2026年9月13日</w:t>
      </w:r>
    </w:p>
    <w:p>
      <w:pPr>
        <w:jc w:val="center"/>
      </w:pPr>
      <w:r>
        <w:rPr>
          <w:color w:val="595959"/>
          <w:sz w:val="20"/>
          <w:szCs w:val="20"/>
        </w:rPr>
        <w:t xml:space="preserve">截至2026年9月11日收盘；MACD、RSI及部分主力资金数据截至2026年9月10日，股东结构数据截至2026年6月30日，存在时间滞后。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桐昆股份2026年上半年业绩显著修复：实现营业收入527.09亿元，同比增长19.36%；归母净利润42.22亿元，同比增长285.03%，已超过2025年全年归母净利润20.33亿元。利润增长主要来自涤纶长丝和PTA加工价差改善、行业去库存及产能自律调整，以及参股浙江石化经营改善带来的投资收益增长。但同期经营活动现金流量净额为-7.18亿元，利润增长与现金流表现存在差异，业绩质量仍需结合存货、应收项目和原材料采购变化观察。</w:t>
      </w:r>
    </w:p>
    <w:p>
      <w:pPr>
        <w:spacing w:after="160" w:line="300"/>
      </w:pPr>
      <w:r>
        <w:rPr>
          <w:sz w:val="22"/>
          <w:szCs w:val="22"/>
        </w:rPr>
        <w:t xml:space="preserve">公司是国内民用涤纶长丝龙头，已形成炼化—PX—PTA/MEG—聚酯—涤纶长丝的纵向一体化布局。截至2026年6月30日，公司原油加工权益量约1,000万吨/年、PTA产能1,020万吨/年、聚合产能1,500万吨/年、涤纶长丝产能1,550万吨/年。规模、原料配套、参股浙江石化以及生产基地布局构成主要竞争优势，但涤纶长丝仍具有较强大宗商品属性，公司对下游的定价权有限，盈利对原油、PX、PTA、MEG价格、行业供需和终端纺织需求较为敏感。</w:t>
      </w:r>
    </w:p>
    <w:p>
      <w:pPr>
        <w:spacing w:after="160" w:line="300"/>
      </w:pPr>
      <w:r>
        <w:rPr>
          <w:sz w:val="22"/>
          <w:szCs w:val="22"/>
        </w:rPr>
        <w:t xml:space="preserve">2024年公司营业收入约1,013.1亿元、归母净利润约12.02亿元，毛利率和净利率分别约为4.64%和1.20%，显示历史盈利具有明显周期性。2026年上半年涤纶长丝收入约427.48亿元、毛利率约11.52%，PTA收入约61.88亿元、毛利率约3.80%，阶段性景气已明显改善，但该水平不能简单外推至全年或长期。机构对2026年归母净利润预测区间为33.14亿至80.88亿元，预测分歧较大，反映市场对加工价差、炼化景气和浙江石化投资收益持续性的判断并不一致。</w:t>
      </w:r>
    </w:p>
    <w:p>
      <w:pPr>
        <w:spacing w:after="160" w:line="300"/>
      </w:pPr>
      <w:r>
        <w:rPr>
          <w:sz w:val="22"/>
          <w:szCs w:val="22"/>
        </w:rPr>
        <w:t xml:space="preserve">截至2026年9月11日，公司股价收于23.41元，较52周高点28.10元低约16.7%，市盈率和市净率按提供口径约为10.80倍和1.28至1.29倍，估值整体不高，但近期技术面偏弱：股价低于MA5、MA10和MA20，MACD处于负值区域，9月11日下跌4.14%且成交额约12.04亿元，主力资金此前出现净流出。股价已接近22.8元附近的近期低位及约22.32元的布林下轨，后续需同时关注盈利景气和价格、成交量、资金流向变化。</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601233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2011年5月18日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浙江省嘉兴市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国内民用涤纶长丝龙头企业，以涤纶长丝为核心，并向PTA、MEG及炼化环节纵向一体化延伸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本纪要主要截至2026年6月30日，历史财务数据主要截至2024年12月31日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主要产能（截至2026年6月30日）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原油加工权益量约1,000万吨/年、PTA 1,020万吨/年、MEG 60万吨/年、聚合1,500万吨/年、涤纶长丝1,550万吨/年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2024年主要产能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聚酯聚合约1,300万吨、涤纶长丝约1,350万吨、PTA 1,020万吨；与2026年半年报数据存在报告期变化</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约1,013.1亿元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约12.02亿元，同比增长50.8%</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涤纶POY（预取向丝）</w:t>
      </w:r>
    </w:p>
    <w:p>
      <w:pPr>
        <w:pStyle w:val="ListParagraph"/>
        <w:numPr>
          <w:ilvl w:val="0"/>
          <w:numId w:val="2"/>
        </w:numPr>
        <w:spacing w:after="80" w:line="280"/>
      </w:pPr>
      <w:r>
        <w:rPr>
          <w:sz w:val="22"/>
          <w:szCs w:val="22"/>
        </w:rPr>
        <w:t xml:space="preserve">涤纶FDY（牵伸丝）</w:t>
      </w:r>
    </w:p>
    <w:p>
      <w:pPr>
        <w:pStyle w:val="ListParagraph"/>
        <w:numPr>
          <w:ilvl w:val="0"/>
          <w:numId w:val="2"/>
        </w:numPr>
        <w:spacing w:after="80" w:line="280"/>
      </w:pPr>
      <w:r>
        <w:rPr>
          <w:sz w:val="22"/>
          <w:szCs w:val="22"/>
        </w:rPr>
        <w:t xml:space="preserve">涤纶DTY（加弹丝）</w:t>
      </w:r>
    </w:p>
    <w:p>
      <w:pPr>
        <w:pStyle w:val="ListParagraph"/>
        <w:numPr>
          <w:ilvl w:val="0"/>
          <w:numId w:val="2"/>
        </w:numPr>
        <w:spacing w:after="80" w:line="280"/>
      </w:pPr>
      <w:r>
        <w:rPr>
          <w:sz w:val="22"/>
          <w:szCs w:val="22"/>
        </w:rPr>
        <w:t xml:space="preserve">涤纶复合丝</w:t>
      </w:r>
    </w:p>
    <w:p>
      <w:pPr>
        <w:pStyle w:val="ListParagraph"/>
        <w:numPr>
          <w:ilvl w:val="0"/>
          <w:numId w:val="2"/>
        </w:numPr>
        <w:spacing w:after="80" w:line="280"/>
      </w:pPr>
      <w:r>
        <w:rPr>
          <w:sz w:val="22"/>
          <w:szCs w:val="22"/>
        </w:rPr>
        <w:t xml:space="preserve">ITY、中强丝等差别化涤纶长丝</w:t>
      </w:r>
    </w:p>
    <w:p>
      <w:pPr>
        <w:pStyle w:val="ListParagraph"/>
        <w:numPr>
          <w:ilvl w:val="0"/>
          <w:numId w:val="2"/>
        </w:numPr>
        <w:spacing w:after="80" w:line="280"/>
      </w:pPr>
      <w:r>
        <w:rPr>
          <w:sz w:val="22"/>
          <w:szCs w:val="22"/>
        </w:rPr>
        <w:t xml:space="preserve">PTA（精对苯二甲酸）</w:t>
      </w:r>
    </w:p>
    <w:p>
      <w:pPr>
        <w:pStyle w:val="ListParagraph"/>
        <w:numPr>
          <w:ilvl w:val="0"/>
          <w:numId w:val="2"/>
        </w:numPr>
        <w:spacing w:after="80" w:line="280"/>
      </w:pPr>
      <w:r>
        <w:rPr>
          <w:sz w:val="22"/>
          <w:szCs w:val="22"/>
        </w:rPr>
        <w:t xml:space="preserve">MEG（乙二醇）</w:t>
      </w:r>
    </w:p>
    <w:p>
      <w:pPr>
        <w:pStyle w:val="ListParagraph"/>
        <w:numPr>
          <w:ilvl w:val="0"/>
          <w:numId w:val="2"/>
        </w:numPr>
        <w:spacing w:after="80" w:line="280"/>
      </w:pPr>
      <w:r>
        <w:rPr>
          <w:sz w:val="22"/>
          <w:szCs w:val="22"/>
        </w:rPr>
        <w:t xml:space="preserve">聚酯切片及其他配套产品</w:t>
      </w:r>
    </w:p>
    <w:p>
      <w:pPr>
        <w:pStyle w:val="ListParagraph"/>
        <w:numPr>
          <w:ilvl w:val="0"/>
          <w:numId w:val="2"/>
        </w:numPr>
        <w:spacing w:after="80" w:line="280"/>
      </w:pPr>
      <w:r>
        <w:rPr>
          <w:sz w:val="22"/>
          <w:szCs w:val="22"/>
        </w:rPr>
        <w:t xml:space="preserve">再生循环纤维、功能性差别化长丝、纺丝助剂、表面活性剂、聚醚多元醇等新材料业务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位于“石化原料—聚酯—涤纶长丝—纺织加工”产业链的中游偏上位置，主营民用涤纶长丝生产销售，并通过自有PTA、MEG产能及参股浙江石化20%股权向上游炼化和芳烃环节延伸，形成“炼化—PX—PTA/MEG—聚酯—纺丝—加弹—纺织—印染”的纵向一体化布局。</w:t>
      </w:r>
    </w:p>
    <w:p>
      <w:pPr>
        <w:pStyle w:val="ListParagraph"/>
        <w:numPr>
          <w:ilvl w:val="0"/>
          <w:numId w:val="2"/>
        </w:numPr>
        <w:spacing w:after="80" w:line="280"/>
      </w:pPr>
      <w:r>
        <w:rPr>
          <w:sz w:val="22"/>
          <w:szCs w:val="22"/>
        </w:rPr>
        <w:t xml:space="preserve">主要投入包括PX、PTA、MEG、原油及芳烃产品，以及煤炭、天然气、电力、蒸汽和包装材料。</w:t>
      </w:r>
    </w:p>
    <w:p>
      <w:pPr>
        <w:pStyle w:val="ListParagraph"/>
        <w:numPr>
          <w:ilvl w:val="0"/>
          <w:numId w:val="2"/>
        </w:numPr>
        <w:spacing w:after="80" w:line="280"/>
      </w:pPr>
      <w:r>
        <w:rPr>
          <w:sz w:val="22"/>
          <w:szCs w:val="22"/>
        </w:rPr>
        <w:t xml:space="preserve">PX主要用于生产PTA，PTA和MEG是聚酯聚合及涤纶长丝生产的核心原料；煤炭和天然气主要与新疆MEG项目及煤气头改造有关。</w:t>
      </w:r>
    </w:p>
    <w:p>
      <w:pPr>
        <w:pStyle w:val="ListParagraph"/>
        <w:numPr>
          <w:ilvl w:val="0"/>
          <w:numId w:val="2"/>
        </w:numPr>
        <w:spacing w:after="80" w:line="280"/>
      </w:pPr>
      <w:r>
        <w:rPr>
          <w:sz w:val="22"/>
          <w:szCs w:val="22"/>
        </w:rPr>
        <w:t xml:space="preserve">公司拥有PTA、MEG等配套产能，并通过参股浙江石化向炼化和PX环节延伸，可提高原料自给比例，降低运输、仓储和中间交易成本。</w:t>
      </w:r>
    </w:p>
    <w:p>
      <w:pPr>
        <w:pStyle w:val="ListParagraph"/>
        <w:numPr>
          <w:ilvl w:val="0"/>
          <w:numId w:val="2"/>
        </w:numPr>
        <w:spacing w:after="80" w:line="280"/>
      </w:pPr>
      <w:r>
        <w:rPr>
          <w:sz w:val="22"/>
          <w:szCs w:val="22"/>
        </w:rPr>
        <w:t xml:space="preserve">公司仍受国际原油、PX、煤炭等大宗商品价格影响，未完全摆脱周期波动；在未充分一体化之前，涤纶长丝企业对PX、PTA、MEG价格较为敏感，基本属于价格接受者。</w:t>
      </w:r>
    </w:p>
    <w:p>
      <w:pPr>
        <w:pStyle w:val="ListParagraph"/>
        <w:numPr>
          <w:ilvl w:val="0"/>
          <w:numId w:val="2"/>
        </w:numPr>
        <w:spacing w:after="80" w:line="280"/>
      </w:pPr>
      <w:r>
        <w:rPr>
          <w:sz w:val="22"/>
          <w:szCs w:val="22"/>
        </w:rPr>
        <w:t xml:space="preserve">公司年报披露，主要原材料和产品均为石油炼化产品衍生品，价格受国际原油价格、行业供需和下游需求影响，经营业绩具有明显周期性。</w:t>
      </w:r>
    </w:p>
    <w:p>
      <w:pPr>
        <w:pStyle w:val="ListParagraph"/>
        <w:numPr>
          <w:ilvl w:val="0"/>
          <w:numId w:val="2"/>
        </w:numPr>
        <w:spacing w:after="80" w:line="280"/>
      </w:pPr>
      <w:r>
        <w:rPr>
          <w:sz w:val="22"/>
          <w:szCs w:val="22"/>
        </w:rPr>
        <w:t xml:space="preserve">一份非公司原始研究资料显示，2024年前五大供应商采购金额占比约48%，其中关联交易约17%；该数据来源单一，尚未在可直接检索的公司年报正文中交叉验证，仅作为参考，不能视为已确认的官方口径。</w:t>
      </w:r>
    </w:p>
    <w:p>
      <w:pPr>
        <w:pStyle w:val="ListParagraph"/>
        <w:numPr>
          <w:ilvl w:val="0"/>
          <w:numId w:val="2"/>
        </w:numPr>
        <w:spacing w:after="80" w:line="280"/>
      </w:pPr>
      <w:r>
        <w:rPr>
          <w:sz w:val="22"/>
          <w:szCs w:val="22"/>
        </w:rPr>
        <w:t xml:space="preserve">主要客户包括下游纺织织造企业、面料企业、家纺企业和贸易商，终端需求来自服装、家纺、箱包、汽车内饰及部分产业用纺织品。</w:t>
      </w:r>
    </w:p>
    <w:p>
      <w:pPr>
        <w:pStyle w:val="ListParagraph"/>
        <w:numPr>
          <w:ilvl w:val="0"/>
          <w:numId w:val="2"/>
        </w:numPr>
        <w:spacing w:after="80" w:line="280"/>
      </w:pPr>
      <w:r>
        <w:rPr>
          <w:sz w:val="22"/>
          <w:szCs w:val="22"/>
        </w:rPr>
        <w:t xml:space="preserve">涤纶长丝产品覆盖六大系列、一千多个品种，主要用于服装面料和家纺产品，部分用于缆绳、汽车篷布、箱包布等产业用途。</w:t>
      </w:r>
    </w:p>
    <w:p>
      <w:pPr>
        <w:pStyle w:val="ListParagraph"/>
        <w:numPr>
          <w:ilvl w:val="0"/>
          <w:numId w:val="2"/>
        </w:numPr>
        <w:spacing w:after="80" w:line="280"/>
      </w:pPr>
      <w:r>
        <w:rPr>
          <w:sz w:val="22"/>
          <w:szCs w:val="22"/>
        </w:rPr>
        <w:t xml:space="preserve">下游客户数量多、地域分布广，产品具有较强的大宗商品属性；但在行业库存上升、终端纺织需求疲弱时，客户可能延后采购或要求价格让利。</w:t>
      </w:r>
    </w:p>
    <w:p>
      <w:pPr>
        <w:pStyle w:val="ListParagraph"/>
        <w:numPr>
          <w:ilvl w:val="0"/>
          <w:numId w:val="2"/>
        </w:numPr>
        <w:spacing w:after="80" w:line="280"/>
      </w:pPr>
      <w:r>
        <w:rPr>
          <w:sz w:val="22"/>
          <w:szCs w:val="22"/>
        </w:rPr>
        <w:t xml:space="preserve">公司2024年年报可访问资料中，未找到经过充分交叉核实的最新前五大客户销售占比数据；部分非公司原始来源称客户较为分散，但未能与年报表格交叉核实，具体应以公司最新年度报告为准。</w:t>
      </w:r>
    </w:p>
    <w:p>
      <w:pPr>
        <w:pStyle w:val="ListParagraph"/>
        <w:numPr>
          <w:ilvl w:val="0"/>
          <w:numId w:val="2"/>
        </w:numPr>
        <w:spacing w:after="80" w:line="280"/>
      </w:pPr>
      <w:r>
        <w:rPr>
          <w:sz w:val="22"/>
          <w:szCs w:val="22"/>
        </w:rPr>
        <w:t xml:space="preserve">涤纶长丝价格主要受原油、PTA、MEG、库存和终端纺织需求影响，龙头企业主要优势在规模、成本、开工率、产品结构和现金流，而非对下游客户拥有绝对提价能力。</w:t>
      </w:r>
    </w:p>
    <w:p>
      <w:pPr>
        <w:pStyle w:val="ListParagraph"/>
        <w:numPr>
          <w:ilvl w:val="0"/>
          <w:numId w:val="2"/>
        </w:numPr>
        <w:spacing w:after="80" w:line="280"/>
      </w:pPr>
      <w:r>
        <w:rPr>
          <w:sz w:val="22"/>
          <w:szCs w:val="22"/>
        </w:rPr>
        <w:t xml:space="preserve">公司可以通过产品定价向下游传导部分原材料价格变化，但价格大幅波动仍可能造成库存跌价和毛利率波动。</w:t>
      </w:r>
    </w:p>
    <w:p>
      <w:pPr>
        <w:pStyle w:val="ListParagraph"/>
        <w:numPr>
          <w:ilvl w:val="0"/>
          <w:numId w:val="2"/>
        </w:numPr>
        <w:spacing w:after="80" w:line="280"/>
      </w:pPr>
      <w:r>
        <w:rPr>
          <w:sz w:val="22"/>
          <w:szCs w:val="22"/>
        </w:rPr>
        <w:t xml:space="preserve">截至2024年12月31日，公司应收账款约10.05亿元，2024年营业收入约1,013.1亿元，应收账款约占营业收入的0.10%；应收账款周转天数约3.0天，周转率约119倍。该数据表明销售回款较快，应收账款对营运资金的长期占用较少。公司主要营运资金风险来自涤纶长丝、PTA等产品及原材料价格波动导致的库存跌价；若在价格高位备货后产品价格下跌，可能产生库存跌价损失。</w:t>
      </w:r>
    </w:p>
    <w:p>
      <w:pPr>
        <w:pStyle w:val="ListParagraph"/>
        <w:numPr>
          <w:ilvl w:val="0"/>
          <w:numId w:val="2"/>
        </w:numPr>
        <w:spacing w:after="80" w:line="280"/>
      </w:pPr>
      <w:r>
        <w:rPr>
          <w:sz w:val="22"/>
          <w:szCs w:val="22"/>
        </w:rPr>
        <w:t xml:space="preserve">供应商集中度方面，一份非公司原始研究资料显示2024年前五大供应商采购金额占比约48%、关联交易约17%，但数据来源单一且未与公司年报正文交叉核实；客户集中度方面，2024年年报可访问资料未找到经过充分交叉核实的最新前五大客户销售占比，相关判断应以公司最新年度报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约6.32%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约6.23%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疫情冲击下需求和油价波动，但公司凭借规模、一体化布局和产品销售仍保持一定盈利能力。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约11.02%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约12.43%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纺织需求和化纤景气处于高位，长丝价差较好，规模效应及浙石化投资收益共同推升利润。</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约0.22%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原油及能源价格剧烈波动，行业新增供给增加且需求疲弱，长丝价差收窄，盈利大幅回落。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约5.06%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约0.99%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长丝行业逐步修复，但产能释放、库存压力和需求恢复不充分，利润仍处低位。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约4.64%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行业新增长丝产能较少，下游加弹织造需求改善，长丝利润有所修复，但整体仍处于周期底部附近。</w:t>
            </w:r>
          </w:p>
        </w:tc>
      </w:tr>
    </w:tbl>
    <w:p>
      <w:pPr>
        <w:spacing w:before="200"/>
      </w:pPr>
    </w:p>
    <w:p>
      <w:pPr>
        <w:spacing w:after="160" w:line="300"/>
      </w:pPr>
      <w:r>
        <w:rPr>
          <w:sz w:val="22"/>
          <w:szCs w:val="22"/>
        </w:rPr>
        <w:t xml:space="preserve">桐昆股份处于石化—聚酯—涤纶长丝产业链的中游偏上位置，属于规模化、重资产的中游加工制造企业，并通过PTA、MEG配套和参股炼化向上游延伸。公司并不具备很强的终端品牌或大宗产品定价权，进一步改善利润主要依赖涤纶长丝供需格局改善、原料自给和一体化降本、产能利用率提升、规模效应及差别化产品占比提高，而非依靠对下游客户的强定价权。</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527.09亿元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同比增长19.36%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归母净利润42.22亿元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同比增长285.03%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约293.47亿元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同比增长18.63%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归母净利润约23.24亿元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同比增长378.32%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233.61亿元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同比增长20.30%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归母净利润18.98亿元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同比增长210.79%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938.91亿元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同比下降7.32%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归母净利润20.33亿元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同比增长69.13%</w:t>
            </w:r>
          </w:p>
        </w:tc>
      </w:tr>
    </w:tbl>
    <w:p>
      <w:pPr>
        <w:spacing w:after="200"/>
      </w:pPr>
      <w:r>
        <w:rPr>
          <w:i/>
          <w:iCs/>
          <w:color w:val="595959"/>
          <w:sz w:val="18"/>
          <w:szCs w:val="18"/>
        </w:rPr>
        <w:t xml:space="preserve">2026年半年度报告于2026年8月26日披露，未经审计。2026年第二季度数据为根据半年报及第三方财务数据库拆分整理，并非公司单独披露的季度报告数字，使用时应以半年报累计数据为准。2026年上半年扣非归母净利润为40.06亿元，同比增长280.03%；基本每股收益为1.78元，同比增长286.96%。2026年第一季度扣非归母净利润为17.58亿元，同比增长193.18%；基本每股收益为0.80元。2025年扣非归母净利润为15.91亿元，同比增长70.31%；基本每股收益为0.86元，同比增长68.63%。</w:t>
      </w:r>
    </w:p>
    <w:p>
      <w:pPr>
        <w:spacing w:after="160" w:line="300"/>
      </w:pPr>
      <w:r>
        <w:rPr>
          <w:sz w:val="22"/>
          <w:szCs w:val="22"/>
        </w:rPr>
        <w:t xml:space="preserve">2026年上半年收入恢复增长，归母净利润同比大幅增长，已超过2025年全年归母净利润水平。利润增长主要受涤纶长丝、PTA价差改善以及参股浙江石化投资收益增长推动。同期经营活动产生的现金流量净额为-7.18亿元，上年同期为-3.00亿元，同比下降139.00%，利润增长与经营现金流表现存在差异，需关注存货、应收项目、原材料采购及营运资金变化。2026年上半年归属于上市公司股东的净资产为425.42亿元，较2025年末增长11.00%；总资产为1226.77亿元，较2025年末增长8.06%；加权平均净资产收益率为10.44%，较上年同期提高7.48个百分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F10数据显示，截至2026年9月10日前后，约26家机构对2026—2028年业绩进行预测。机构一致预期归母净利润预测区间为：2026年33.14亿元至80.88亿元，2027年35.21亿元至90.38亿元，2028年36.79亿元至100.84亿元。上述数据均为机构预测，不是公司正式指引。不同券商对涤纶长丝价差、原油价格、浙江石化投资收益及行业“反内卷”政策效果的判断存在差异，盈利预测分歧较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2026年机构一致预期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约1115.51亿元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平均约70.56亿元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平均约2.97元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2027年机构一致预期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平均约77.97亿元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平均约3.28元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2028年机构一致预期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平均约85.34亿元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平均约3.59元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2026年长城证券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1162.33亿元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80.88亿元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2027年长城证券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1183.13亿元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90.38亿元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3.80元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2028年长城证券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1229.68亿元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100.84亿元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2026年平安证券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80.13亿元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2027年平安证券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86.79亿元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2028年平安证券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93.07亿元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2026年东方财富证券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1183.44亿元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71.89亿元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2027年东方财富证券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1233.35亿元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76.17亿元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3.20元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2028年东方财富证券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1268.54亿元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80.17亿元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2026年财信证券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1089.47亿元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70.46亿元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2.96元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2027年财信证券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1091.63亿元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78.88亿元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2028年财信证券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1110.72亿元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86.84亿元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3.65元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2026年华泰证券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62.78亿元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2027年华泰证券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63.22亿元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2.66元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2028年华泰证券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67.02亿元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2026年申万宏源</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2027年申万宏源</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2028年申万宏源</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预计2026—2028年归母净利润分别为80.88亿元、90.38亿元、100.84亿元；对应EPS分别为3.40元、3.80元、4.24元；以2026年9月7日股价计算，对应PE约7.3倍、6.6倍和5.9倍。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评级信息未明确披露</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2026年9月10日前后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预计2026—2028年归母净利润分别为80.13亿元、86.79亿元、93.07亿元，对应2026年PE约7.4倍。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目标价未披露；预计2026—2028年归母净利润分别为71.89亿元、76.17亿元、80.17亿元，EPS分别为3.02元、3.20元、3.37元，对应PE分别为7.82倍、7.38倍和7.02倍。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预计2026—2028年归母净利润分别为70.46亿元、78.88亿元、86.84亿元，EPS分别为2.96元、3.32元和3.65元。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预计2026—2028年归母净利润分别为62.78亿元、63.22亿元和67.02亿元，EPS分别为2.64元、2.66元和2.82元。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预计2026—2028年归母净利润分别为81亿元、96亿元和109亿元；该预测相对华泰证券等机构更为乐观。</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目标价31.00元。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目标价30.50元。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目标价36.15元。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目标价29.55元，后续中报点评上调至30.36元。</w:t>
            </w:r>
          </w:p>
        </w:tc>
      </w:tr>
    </w:tbl>
    <w:p>
      <w:pPr>
        <w:spacing w:before="200"/>
      </w:pPr>
    </w:p>
    <w:p>
      <w:pPr>
        <w:spacing w:after="160" w:line="300"/>
      </w:pPr>
      <w:r>
        <w:rPr>
          <w:sz w:val="22"/>
          <w:szCs w:val="22"/>
        </w:rPr>
        <w:t xml:space="preserve">截至2026年9月11日收盘，公司收盘价为23.41元。按TTM口径计算的市盈率约为10.80倍，处于历史估值分位较低位置；市净率约1.28倍至1.29倍，2026年6月末每股净资产约18.18元。按总股本约23.79亿股估算，总市值约556.9亿元。按2026年机构一致预期EPS 2.97元计算，静态对应2026年预测PE约7.9倍；按长城证券预测EPS 3.40元计算，对应2026年预测PE约6.9倍。机构目标价区间约为27.50元至36.15元，中位数约30.77元，但目标价基于不同报告发布时点、估值基准及盈利预测年份，不能简单横向比较。当前估值整体不高，但盈利对涤纶长丝加工价差、行业供给约束、原油及PX、PTA价格、浙江石化投资收益以及下游需求和库存周期较为敏感。2026年上半年利润中参股浙江石化投资收益贡献较大，不宜简单将上半年利润年化作为全年盈利。若炼化价差回落，实际归母净利润可能低于部分乐观预测；同时，上半年经营现金流为负，需继续关注现金流、存货及应收账款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大股东一致行动人申请发行不超过11.80亿元可交换公司债券</w:t>
      </w:r>
    </w:p>
    <w:p>
      <w:pPr>
        <w:spacing w:after="160" w:line="300"/>
      </w:pPr>
      <w:r>
        <w:rPr>
          <w:sz w:val="22"/>
          <w:szCs w:val="22"/>
        </w:rPr>
        <w:t xml:space="preserve">2026年9月12日公告，控股股东桐昆控股集团有限公司的一致行动人浙江磊鑫实业股份有限公司于9月11日向上海证券交易所申请，以其持有的桐昆股份部分A股股票为标的，非公开发行不超过人民币11.80亿元的可交换公司债券，并于同日获上交所受理。截至公告日，磊鑫实业持有桐昆股份172,920,181股，占公司已发行总股本的7.27%。债券期限不超过3年，持有人在发行结束满6个月后、满足换股条件时有权将债券交换为桐昆股份股票。公司表示，该事项不会导致控股股东及实际控制人发生变化。目前仅为申请获受理，尚未完成发行或形成实际减持，最终发行方案、换股价格、换股比例及是否实际换股均尚未确定。</w:t>
      </w:r>
    </w:p>
    <w:p>
      <w:pPr>
        <w:pStyle w:val="Heading2"/>
        <w:spacing w:after="120" w:before="240"/>
      </w:pPr>
      <w:r>
        <w:rPr>
          <w:b/>
          <w:bCs/>
          <w:color w:val="2E74B5"/>
          <w:sz w:val="24"/>
          <w:szCs w:val="24"/>
        </w:rPr>
        <w:t xml:space="preserve">4.2 公司不超过130亿元债务融资工具注册申请获准</w:t>
      </w:r>
    </w:p>
    <w:p>
      <w:pPr>
        <w:spacing w:after="160" w:line="300"/>
      </w:pPr>
      <w:r>
        <w:rPr>
          <w:sz w:val="22"/>
          <w:szCs w:val="22"/>
        </w:rPr>
        <w:t xml:space="preserve">2026年9月10日公告，公司于2026年9月7日收到中国银行间市场交易商协会《接受注册通知书》（中市协注〔2026〕DFI68号）。公司此前拟发行总额不超过130亿元的非金融企业债务融资工具，该事项已分别经2026年4月24日召开的第九届董事会第十六次会议及2026年5月20日召开的2025年年度股东会审议批准。公司可在注册有效期内分期发行超短期融资券、短期融资券、中期票据、永续票据、资产支持票据、绿色债务融资工具等产品，也可定向发行相关产品，主承销商为兴业银行。130亿元为注册额度上限，不代表公司已经实际募集130亿元，后续发行规模、利率、期限及募集资金用途尚未确定。</w:t>
      </w:r>
    </w:p>
    <w:p>
      <w:pPr>
        <w:pStyle w:val="Heading2"/>
        <w:spacing w:after="120" w:before="240"/>
      </w:pPr>
      <w:r>
        <w:rPr>
          <w:b/>
          <w:bCs/>
          <w:color w:val="2E74B5"/>
          <w:sz w:val="24"/>
          <w:szCs w:val="24"/>
        </w:rPr>
        <w:t xml:space="preserve">4.3 2026年第四次临时股东会将于9月15日召开</w:t>
      </w:r>
    </w:p>
    <w:p>
      <w:pPr>
        <w:spacing w:after="160" w:line="300"/>
      </w:pPr>
      <w:r>
        <w:rPr>
          <w:sz w:val="22"/>
          <w:szCs w:val="22"/>
        </w:rPr>
        <w:t xml:space="preserve">公司于2026年9月9日披露提示性公告，股权登记日为2026年9月9日，现场会议时间为2026年9月15日14:00。会议拟审议四项议案：募集资金投资项目结项并将节余募集资金永久补充流动资金；《2026年限制性股票激励计划（草案）》及摘要；《2026年限制性股票激励计划实施考核管理办法》；授权董事会办理2026年限制性股票激励计划相关事宜。公司2021年非公开发行股票募集资金投资项目已全部建设完毕并结项，截至2026年8月25日累计使用募集资金181,064.49万元，预计节余募集资金17,796.98万元，最终金额以募集资金专户注销时银行实际余额为准，公司拟将其永久补充流动资金。</w:t>
      </w:r>
    </w:p>
    <w:p>
      <w:pPr>
        <w:pStyle w:val="Heading2"/>
        <w:spacing w:after="120" w:before="240"/>
      </w:pPr>
      <w:r>
        <w:rPr>
          <w:b/>
          <w:bCs/>
          <w:color w:val="2E74B5"/>
          <w:sz w:val="24"/>
          <w:szCs w:val="24"/>
        </w:rPr>
        <w:t xml:space="preserve">4.4 2026年限制性股票激励计划内幕信息知情人自查</w:t>
      </w:r>
    </w:p>
    <w:p>
      <w:pPr>
        <w:spacing w:after="160" w:line="300"/>
      </w:pPr>
      <w:r>
        <w:rPr>
          <w:sz w:val="22"/>
          <w:szCs w:val="22"/>
        </w:rPr>
        <w:t xml:space="preserve">2026年9月9日公告，公司对2026年限制性股票激励计划草案首次公开披露前六个月，即2026年2月25日至2026年8月25日期间，内幕信息知情人买卖公司股票情况进行了核查。除3名核查对象在自查期间存在买卖公司股票行为外，其余核查对象均不存在买卖公司股票行为。公司说明，其中1名核查对象的买卖行为发生在内幕信息形成之前，另外2名核查对象分别为控股股东监事和高管，公司核实认为其交易时并不知悉本次激励计划；上述3人均不是本次激励计划的激励对象。公司未发现内幕信息泄露或利用内幕信息交易获利的情形。截至2026年9月13日，未检索到与该事项相关的监管处罚或问询公告。</w:t>
      </w:r>
    </w:p>
    <w:p>
      <w:pPr>
        <w:pStyle w:val="Heading2"/>
        <w:spacing w:after="120" w:before="240"/>
      </w:pPr>
      <w:r>
        <w:rPr>
          <w:b/>
          <w:bCs/>
          <w:color w:val="2E74B5"/>
          <w:sz w:val="24"/>
          <w:szCs w:val="24"/>
        </w:rPr>
        <w:t xml:space="preserve">4.5 2026年限制性股票激励计划激励对象名单核查</w:t>
      </w:r>
    </w:p>
    <w:p>
      <w:pPr>
        <w:spacing w:after="160" w:line="300"/>
      </w:pPr>
      <w:r>
        <w:rPr>
          <w:sz w:val="22"/>
          <w:szCs w:val="22"/>
        </w:rPr>
        <w:t xml:space="preserve">2026年9月9日，公司董事会提名与薪酬考核委员会披露核查意见，认为本次激励对象主要包括公司董事、高级管理人员、控股子公司核心管理人员及核心骨干，激励对象符合相关法律法规及激励计划规定的条件。激励对象不包括独立董事、外籍员工、单独或合计持有公司5%以上股份的股东、实际控制人及其配偶、父母、子女。该激励计划尚需股东会审议，最终授予规模、授予价格及考核目标以公司后续公告为准。</w:t>
      </w:r>
    </w:p>
    <w:p>
      <w:pPr>
        <w:pStyle w:val="Heading2"/>
        <w:spacing w:after="120" w:before="240"/>
      </w:pPr>
      <w:r>
        <w:rPr>
          <w:b/>
          <w:bCs/>
          <w:color w:val="2E74B5"/>
          <w:sz w:val="24"/>
          <w:szCs w:val="24"/>
        </w:rPr>
        <w:t xml:space="preserve">4.6 2026年半年度业绩预增并基本兑现</w:t>
      </w:r>
    </w:p>
    <w:p>
      <w:pPr>
        <w:spacing w:after="160" w:line="300"/>
      </w:pPr>
      <w:r>
        <w:rPr>
          <w:sz w:val="22"/>
          <w:szCs w:val="22"/>
        </w:rPr>
        <w:t xml:space="preserve">公司于2026年7月15日披露半年度业绩预告，预计2026年上半年归属于上市公司股东的净利润为41.00亿元至45.00亿元，同比增长273.92%至310.40%；扣除非经常性损益后的净利润为38.80亿元至42.80亿元，同比增长268.12%至306.07%；扣除对联营企业和合营企业投资收益后的净利润为24.50亿元至28.50亿元，同比增长264.44%至323.94%。业绩增长主要来自PTA、涤纶长丝等产品加工价差修复、行业去库存及产能自律调整、下游需求保持一定韧性，以及参股公司浙江石化经营情况改善。随后披露的2026年半年度报告显示，公司上半年归母净利润为42.22亿元，同比增长285.03%，落在业绩预告区间内。公司提示，浙江石化相关经营数据在业绩预告披露时尚未经审计，后续经审计后可能调整；未来业绩仍受聚酯产品价差、炼化行业景气度及浙江石化投资收益影响。</w:t>
      </w:r>
    </w:p>
    <w:p>
      <w:pPr>
        <w:pStyle w:val="Heading2"/>
        <w:spacing w:after="120" w:before="240"/>
      </w:pPr>
      <w:r>
        <w:rPr>
          <w:b/>
          <w:bCs/>
          <w:color w:val="2E74B5"/>
          <w:sz w:val="24"/>
          <w:szCs w:val="24"/>
        </w:rPr>
        <w:t xml:space="preserve">4.7 回购专用证券账户股份已完成注销</w:t>
      </w:r>
    </w:p>
    <w:p>
      <w:pPr>
        <w:spacing w:after="160" w:line="300"/>
      </w:pPr>
      <w:r>
        <w:rPr>
          <w:sz w:val="22"/>
          <w:szCs w:val="22"/>
        </w:rPr>
        <w:t xml:space="preserve">公司于2026年3月5日完成注销回购专用证券账户股份21,225,873股。注销后，公司总股本由2,400,227,363股变更为2,379,001,490股。相关股份源自公司2022年至2023年实施的股份回购，原计划用于员工持股计划、股权激励计划或可转换公司债券等用途，后公司决定注销其中部分库存股。</w:t>
      </w:r>
    </w:p>
    <w:p>
      <w:pPr>
        <w:pStyle w:val="Heading2"/>
        <w:spacing w:after="120" w:before="240"/>
      </w:pPr>
      <w:r>
        <w:rPr>
          <w:b/>
          <w:bCs/>
          <w:color w:val="2E74B5"/>
          <w:sz w:val="24"/>
          <w:szCs w:val="24"/>
        </w:rPr>
        <w:t xml:space="preserve">4.8 2023年限制性股票激励计划拟回购注销432.927万股</w:t>
      </w:r>
    </w:p>
    <w:p>
      <w:pPr>
        <w:spacing w:after="160" w:line="300"/>
      </w:pPr>
      <w:r>
        <w:rPr>
          <w:sz w:val="22"/>
          <w:szCs w:val="22"/>
        </w:rPr>
        <w:t xml:space="preserve">公司于2026年8月6日披露，拟回购注销2023年限制性股票激励计划项下4,329,270股限制性股票，原因包括10名激励对象离职，以及第三个解除限售期公司层面业绩考核未达标。回购注销完成后，公司注册资本拟由2,379,001,490元变更为2,374,672,220元，股份总数拟由2,379,001,490股变更为2,374,672,220股。相关事项已于2026年8月5日召开的2026年第三次临时股东会审议通过，债权申报期限为2026年8月6日至2026年9月20日。该事项属于股权激励失败条件下的回购注销，不是新增市场化股份回购方案。</w:t>
      </w:r>
    </w:p>
    <w:p>
      <w:pPr>
        <w:pStyle w:val="Heading2"/>
        <w:spacing w:after="120" w:before="240"/>
      </w:pPr>
      <w:r>
        <w:rPr>
          <w:b/>
          <w:bCs/>
          <w:color w:val="2E74B5"/>
          <w:sz w:val="24"/>
          <w:szCs w:val="24"/>
        </w:rPr>
        <w:t xml:space="preserve">4.9 截至9月13日未检索到新增市场化回购方案</w:t>
      </w:r>
    </w:p>
    <w:p>
      <w:pPr>
        <w:spacing w:after="160" w:line="300"/>
      </w:pPr>
      <w:r>
        <w:rPr>
          <w:sz w:val="22"/>
          <w:szCs w:val="22"/>
        </w:rPr>
        <w:t xml:space="preserve">截至2026年9月13日，未检索到桐昆股份在2026年9月发布新的市场化股份回购方案或新增股份回购实施公告。关于未发现新增回购的结论，基于截至该日的公开公告检索，不代表不存在尚未披露或尚未公开的事项。</w:t>
      </w:r>
    </w:p>
    <w:p>
      <w:pPr>
        <w:pStyle w:val="Heading2"/>
        <w:spacing w:after="120" w:before="240"/>
      </w:pPr>
      <w:r>
        <w:rPr>
          <w:b/>
          <w:bCs/>
          <w:color w:val="2E74B5"/>
          <w:sz w:val="24"/>
          <w:szCs w:val="24"/>
        </w:rPr>
        <w:t xml:space="preserve">4.10 暂未检索到重大并购重组及监管处罚公告</w:t>
      </w:r>
    </w:p>
    <w:p>
      <w:pPr>
        <w:spacing w:after="160" w:line="300"/>
      </w:pPr>
      <w:r>
        <w:rPr>
          <w:sz w:val="22"/>
          <w:szCs w:val="22"/>
        </w:rPr>
        <w:t xml:space="preserve">截至2026年9月13日，未检索到桐昆股份在2026年9月披露重大资产重组、重大并购、资产出售或监管处罚公告，也暂未发现上交所对公司发出监管工作函、纪律处分或问询函的公开信息。该结论基于公开公告检索，不能排除后续公告或尚未公开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23.41元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下跌1.01元，跌幅4.14%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24.16元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22.79元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约516.99万手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约12.04亿元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约5.61%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按总股本约23.79亿股及收盘价简单估算约556.9亿元；证券之星披露约556.92亿元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13.06~28.10元；收盘价较52周高点低约16.7%，较52周低点高约79.2%</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8月27日至9月1日快速拉升，8月27日收于26.00元、8月28日收于27.45元、8月31日收于27.66元，9月1日盘中最高28.10元；随后整体回落，9月11日收于23.41元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8月28日至9月11日阶段回撤约14.7%；9月11日最低价22.79元，接近8月17日22.69元和8月14日22.55元一带的短线低位区域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约24.56元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收盘价23.41元低于MA5，短线处于均线压制状态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约25.64元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收盘价低于MA10，且MA5低于MA10，短期均线结构偏弱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约25.05元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收盘价低于MA20，价格尚未回到20日均线附近；经济通披露的20日均值为25.026元，可作交叉参考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截至2026年9月10日，MACD柱约-0.47；Investing披露MACD(12,26)约-0.44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MACD处于负值区域，短线动能偏弱；未找到9月11日收盘后完整快线、慢线和柱体数据，不能视为9月11日收盘后的精确值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截至2026年9月10日为34，约处于自身近250日12%分位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短线动能明显走弱，但尚未达到极端超卖的确定性水平；未找到9月11日收盘后的最新RSI数据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截至2026年9月10日约为29/46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数据指向短线弱势状态，但研究纪要未进一步说明具体K、D、J分项含义</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基于截至2026年9月11日最近20个收盘价估算：中轨约25.05元，上轨约27.79元，下轨约22.32元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收盘价低于中轨，9月11日最低价22.79元已接近下轨；短线偏弱，但存在技术性反弹或震荡修复可能。该数值为基于公开历史收盘价的估算，不同复权及计算口径下可能存在差异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截至2026年9月10日，大波浪披露主力资金净流出约8703万元；近10日合计净流入约3036万元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单日资金流向转为明显净流出；同花顺披露9月2日、9月3日、9月4日分别净流出约3773万元、2972万元、8046万元。不同平台的主力资金定义和成交单分类可能不同，不宜简单相加</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2026年9月4日至9月11日成交额约9.42~13.61亿元，换手率约1.60%~2.28%；9月7日至9月11日平均成交额约11.64亿元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9月11日成交额约12.04亿元、高于9月9日和9月10日，但未明显超过近期放量高点；股价下跌4.14%且成交额放大，呈现下跌伴随成交放大的偏空特征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截至2026年6月30日，前十大流通股东合计持有约11.56亿股，占流通A股约48.67%；机构合计持仓约13.96亿股，占流通A股58.78%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集中度中等偏高；前四大股东主要为桐昆控股集团有限公司、嘉兴盛隆投资股份有限公司、浙江磊鑫实业股份有限公司和陈士良，合计持股约40.8%。前十大流通股东中同时有香港中央结算、中国人寿、全国社保基金和基本养老保险基金等，但该数据较9月11日行情滞后约两个多月，不能完全代表当前持仓变化</w:t>
            </w:r>
          </w:p>
        </w:tc>
      </w:tr>
    </w:tbl>
    <w:p>
      <w:pPr>
        <w:spacing w:before="200"/>
      </w:pPr>
    </w:p>
    <w:p>
      <w:pPr>
        <w:spacing w:after="160" w:line="300"/>
      </w:pPr>
      <w:r>
        <w:rPr>
          <w:sz w:val="22"/>
          <w:szCs w:val="22"/>
        </w:rPr>
        <w:t xml:space="preserve">截至2026年9月11日，桐昆股份收于23.41元，单日下跌4.14%，股价低于MA5、MA10和MA20，MACD处于负值区域，RSI6为34，短线技术动能偏弱。股价已接近布林下轨约22.32元及近期22.55~22.69元低位区域，短线存在支撑观察和技术性修复可能，但9月11日下跌伴随成交额升至约12.04亿元，且近期主力资金出现净流出，弱势结构尚未被扭转。若后续收复24.4~24.9元压力区并有成交额配合，技术面才可能向25.0~25.6元区域修复；若22.8元附近支撑失守，则需关注22.3元左右布林下轨及更低的21.98元附近区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24.4~24.9元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对应9月10日收盘价24.42元、MA5约24.56元及9月10日高点24.87元。若有效突破24.9元，短线可观察向MA20及相关均线区域25.0~25.6元修复。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22.8~23.4元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对应9月11日收盘价23.41元、当日最低价22.79元及近期盘中低位。若22.8元附近失守，弱势可能延伸至22.3元左右的布林下轨区域。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22.2~22.6元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对应布林下轨估算约22.32元、8月14日低点22.55元及8月17日低点22.69元附近。若该区域被放量跌破，需关注21.98元附近跌停价以及更低的前期价格缺口或支撑区域。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该权重是基于当前技术面和资金流向的主观判断，不是统计概率）：价格观察区间为22.8~24.6元。触发条件包括22.8元附近出现止跌、成交额回落至约8~12亿元近期常态区间、MACD负值继续收窄但未形成明确金叉，且大盘和化纤板块未出现明显系统性下跌。在此情景下，股价可能围绕23元附近反复震荡，24.4~24.6元为短线反弹的第一道确认区域。</w:t>
      </w:r>
    </w:p>
    <w:p>
      <w:pPr>
        <w:pStyle w:val="ListParagraph"/>
        <w:numPr>
          <w:ilvl w:val="0"/>
          <w:numId w:val="2"/>
        </w:numPr>
        <w:spacing w:after="80" w:line="280"/>
      </w:pPr>
      <w:r>
        <w:rPr>
          <w:sz w:val="22"/>
          <w:szCs w:val="22"/>
        </w:rPr>
        <w:t xml:space="preserve">偏弱下行（主观权重中等，约三成；该权重是基于当前技术面和资金流向的主观判断，不是统计概率）：价格观察区间为21.98~22.8元。触发条件包括22.8元附近支撑有效跌破、单日成交额明显超过近期平均水平且收盘继续处于低位、主力资金延续净流出，以及化纤、聚酯或大盘板块同步走弱。若22.3元附近布林下轨也被放量跌破，弱势结构可能进一步指向21.98元附近；若仅为盘中跌破后收盘重新站回支撑位，信号强度相对较弱。</w:t>
      </w:r>
    </w:p>
    <w:p>
      <w:pPr>
        <w:pStyle w:val="ListParagraph"/>
        <w:numPr>
          <w:ilvl w:val="0"/>
          <w:numId w:val="2"/>
        </w:numPr>
        <w:spacing w:after="80" w:line="280"/>
      </w:pPr>
      <w:r>
        <w:rPr>
          <w:sz w:val="22"/>
          <w:szCs w:val="22"/>
        </w:rPr>
        <w:t xml:space="preserve">反弹走强（主观权重偏低，约两成；该权重是基于当前技术面和资金流向的主观判断，不是统计概率）：价格观察区间为24.6~26.0元。触发条件包括重新站上24.6元附近MA5区域，随后突破24.9元短线压力，单日成交额放大至13亿元以上并连续保持较高水平，主力资金由净流出转为持续净流入，且化纤或聚酯产业链同步反弹。若24.9元有效突破，可观察MA20附近25.0~25.6元；进一步观察26.0元附近仍需成交量和板块表现共同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桐昆股份总市值约556.9亿元、流通A股约23.75亿股，近期换手率约1.60%~2.28%，成交额约9.42~13.61亿元，9月11日成交额约12.04亿元、换手率2.18%，流动性总体尚可，不属于极端低流动性小盘股。2026年6月30日股东数据显示，前十大流通股东持股约48.67%，机构合计持股约58.78%；基金、保险公司、基本养老保险基金持仓占流通A股比例分别约16.04%、2.12%和0.73%，前十大股东中还包括香港中央结算、中国人寿、全国社保基金及基本养老保险基金等。该股东结构数据截至2026年6月30日，较9月11日行情存在约两个多月滞后，实际持仓可能已经变化。结合近期成交额和换手率，日常交易流动性尚可，但9月11日下跌4.14%同时成交额放大至约12.04亿元，且截至9月10日主力资金净流出约8703万元，显示短线抛压仍在；实际流动性和成交价格仍会受市场环境及盘口深度影响。</w:t>
      </w:r>
    </w:p>
    <w:p>
      <w:pPr>
        <w:spacing w:after="160" w:line="300"/>
      </w:pPr>
      <w:r>
        <w:rPr>
          <w:sz w:val="22"/>
          <w:szCs w:val="22"/>
        </w:rPr>
        <w:t xml:space="preserve">一个可检查的成交量确认信号是：若后续单日成交额持续达到13亿元以上，同时收盘价重新站上24.6~24.9元压力区，可作为短线资金重新介入、反弹有效性增强的观察信号；若成交额放大但股价继续收在22.8元以下，则更偏向放量出逃，而非积极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观察22.8~23.4元区域能否止跌，重点关注收盘价表现，而非单纯盘中低点；以上为观察思路，非操作指令。</w:t>
      </w:r>
    </w:p>
    <w:p>
      <w:pPr>
        <w:pStyle w:val="ListParagraph"/>
        <w:numPr>
          <w:ilvl w:val="0"/>
          <w:numId w:val="2"/>
        </w:numPr>
        <w:spacing w:after="80" w:line="280"/>
      </w:pPr>
      <w:r>
        <w:rPr>
          <w:sz w:val="22"/>
          <w:szCs w:val="22"/>
        </w:rPr>
        <w:t xml:space="preserve">观察22.2~22.6元布林下轨及前期低点附近的支撑有效性；以上为观察思路，非操作指令。</w:t>
      </w:r>
    </w:p>
    <w:p>
      <w:pPr>
        <w:pStyle w:val="ListParagraph"/>
        <w:numPr>
          <w:ilvl w:val="0"/>
          <w:numId w:val="2"/>
        </w:numPr>
        <w:spacing w:after="80" w:line="280"/>
      </w:pPr>
      <w:r>
        <w:rPr>
          <w:sz w:val="22"/>
          <w:szCs w:val="22"/>
        </w:rPr>
        <w:t xml:space="preserve">观察24.4~24.9元压力区能否重新收复，收复后再观察25.0~25.6元区域；以上为观察思路，非操作指令。</w:t>
      </w:r>
    </w:p>
    <w:p>
      <w:pPr>
        <w:pStyle w:val="ListParagraph"/>
        <w:numPr>
          <w:ilvl w:val="0"/>
          <w:numId w:val="2"/>
        </w:numPr>
        <w:spacing w:after="80" w:line="280"/>
      </w:pPr>
      <w:r>
        <w:rPr>
          <w:sz w:val="22"/>
          <w:szCs w:val="22"/>
        </w:rPr>
        <w:t xml:space="preserve">观察成交额能否连续放大至13亿元以上，并与股价重新站上压力区同步；以上为观察思路，非操作指令。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化纤行业价格和商品市场波动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涤纶长丝是中国化纤行业中规模较大、产业链较成熟的子行业，主要服务纺织服装和家纺产业。行业原料和产品均与原油、煤炭、天然气等大宗商品相关，周期性明显；国内产能规模大、出口占比较高，需求受国内消费、纺织出口和海外补库影响。POY、FDY等通用产品同质化程度较高，竞争重点在规模、成本、开工率、产品结构和现金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PTA、聚酯和涤纶长丝产能逐渐向大型企业集中，行业竞争由大量中小企业参与的充分竞争，转向大型企业主导的规模化、基地化和一体化竞争。</w:t>
      </w:r>
    </w:p>
    <w:p>
      <w:pPr>
        <w:pStyle w:val="ListParagraph"/>
        <w:numPr>
          <w:ilvl w:val="0"/>
          <w:numId w:val="2"/>
        </w:numPr>
        <w:spacing w:after="80" w:line="280"/>
      </w:pPr>
      <w:r>
        <w:rPr>
          <w:sz w:val="22"/>
          <w:szCs w:val="22"/>
        </w:rPr>
        <w:t xml:space="preserve">大型企业在原料配套、融资、技术改造和低成本扩产方面更具优势，老旧、高成本、小规模装置面临退出压力。</w:t>
      </w:r>
    </w:p>
    <w:p>
      <w:pPr>
        <w:pStyle w:val="ListParagraph"/>
        <w:numPr>
          <w:ilvl w:val="0"/>
          <w:numId w:val="2"/>
        </w:numPr>
        <w:spacing w:after="80" w:line="280"/>
      </w:pPr>
      <w:r>
        <w:rPr>
          <w:sz w:val="22"/>
          <w:szCs w:val="22"/>
        </w:rPr>
        <w:t xml:space="preserve">行业集中度提升不等于企业拥有很强的产品定价权，涤纶长丝价格仍主要受原油、PTA、MEG、库存和终端纺织需求影响。</w:t>
      </w:r>
    </w:p>
    <w:p>
      <w:pPr>
        <w:pStyle w:val="ListParagraph"/>
        <w:numPr>
          <w:ilvl w:val="0"/>
          <w:numId w:val="2"/>
        </w:numPr>
        <w:spacing w:after="80" w:line="280"/>
      </w:pPr>
      <w:r>
        <w:rPr>
          <w:sz w:val="22"/>
          <w:szCs w:val="22"/>
        </w:rPr>
        <w:t xml:space="preserve">差别化纤维、再生纤维、绿色低碳制造和智能制造是中长期竞争方向。</w:t>
      </w:r>
    </w:p>
    <w:p>
      <w:pPr>
        <w:pStyle w:val="ListParagraph"/>
        <w:numPr>
          <w:ilvl w:val="0"/>
          <w:numId w:val="2"/>
        </w:numPr>
        <w:spacing w:after="80" w:line="280"/>
      </w:pPr>
      <w:r>
        <w:rPr>
          <w:sz w:val="22"/>
          <w:szCs w:val="22"/>
        </w:rPr>
        <w:t xml:space="preserve">根据前瞻产业研究院援引中国化学纤维工业协会数据，2024年中国涤纶民用长丝产量排名前三的企业为桐昆集团、恒逸集团和新凤鸣；该研究估计2025年中国涤纶长丝行业按产能计算的CR5约为53%。该CR5为第三方行业估算，统计口径和样本范围可能与公司年报披露的市场份额不同，仅作为行业趋势参考。</w:t>
      </w:r>
    </w:p>
    <w:p>
      <w:pPr>
        <w:pStyle w:val="ListParagraph"/>
        <w:numPr>
          <w:ilvl w:val="0"/>
          <w:numId w:val="2"/>
        </w:numPr>
        <w:spacing w:after="80" w:line="280"/>
      </w:pPr>
      <w:r>
        <w:rPr>
          <w:sz w:val="22"/>
          <w:szCs w:val="22"/>
        </w:rPr>
        <w:t xml:space="preserve">公司2024年年报披露，桐昆在国内聚酯涤纶长丝市场的份额超过28%，国际市场份额超过18%；该市场份额为公司引用中国化纤协会数据的披露，与第三方CR5估算不属于同一统计口径，不能直接相加或比较。</w:t>
      </w:r>
    </w:p>
    <w:p>
      <w:pPr>
        <w:pStyle w:val="ListParagraph"/>
        <w:numPr>
          <w:ilvl w:val="0"/>
          <w:numId w:val="2"/>
        </w:numPr>
        <w:spacing w:after="80" w:line="280"/>
      </w:pPr>
      <w:r>
        <w:rPr>
          <w:sz w:val="22"/>
          <w:szCs w:val="22"/>
        </w:rPr>
        <w:t xml:space="preserve">截至2026年6月30日，公司涤纶长丝产能达到1,550万吨/年，产品产量和销量长期位居全球行业前列；2024年POY、FDY、DTY和PTA销量分别约为968.2万吨、214.1万吨、112.0万吨和126.8万吨，涤纶长丝整体销量同比增长约25.6%。</w:t>
      </w:r>
    </w:p>
    <w:p>
      <w:pPr>
        <w:pStyle w:val="ListParagraph"/>
        <w:numPr>
          <w:ilvl w:val="0"/>
          <w:numId w:val="2"/>
        </w:numPr>
        <w:spacing w:after="80" w:line="280"/>
      </w:pPr>
      <w:r>
        <w:rPr>
          <w:sz w:val="22"/>
          <w:szCs w:val="22"/>
        </w:rPr>
        <w:t xml:space="preserve">2026年上半年涤纶长丝产品收入约427.48亿元、毛利率约11.52%，PTA收入约61.88亿元、毛利率约3.80%；该数据为阶段性景气数据，不能简单外推至全年或长期。</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新凤鸣（603225）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国内民用涤纶长丝重要生产企业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主营涤纶长丝、短纤及PTA，产业链主要集中在PTA—聚酯—涤纶长丝环节，与桐昆直接重叠度最高，竞争重点为长丝规模、成本控制和产品差异化。</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恒逸石化（000703）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炼油、石化、PTA、聚酯和化纤一体化企业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同时发展涤纶和锦纶业务，业务范围较桐昆更广，锦纶和供应链服务业务占比更高；双方在PTA、聚酯和涤纶长丝领域直接竞争。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恒力石化（600346）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大型炼化、芳烃、PTA、聚酯和化纤一体化企业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规模化和上游炼化一体化能力突出，长丝业务与桐昆存在直接竞争；整体业务更偏大型炼化和石化一体化。</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东方盛虹（000301）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炼化、芳烃、PTA、聚酯纤维及化工新材料综合企业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依托盛虹炼化和石化项目，优势主要在大型炼化一体化和新材料延伸，涤纶纤维业务与桐昆存在重叠。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荣盛石化（002493）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原油加工、芳烃、PTA、聚酯及新材料一体化企业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通过参股和控股大型炼化项目布局产业链，整体资产规模和炼化业务权重高于桐昆；桐昆相对优势在涤纶长丝专业化规模和市场份额。</w:t>
            </w:r>
          </w:p>
        </w:tc>
      </w:tr>
    </w:tbl>
    <w:p>
      <w:pPr>
        <w:spacing w:before="200"/>
      </w:pPr>
    </w:p>
    <w:p>
      <w:pPr>
        <w:spacing w:after="160" w:line="300"/>
      </w:pPr>
      <w:r>
        <w:rPr>
          <w:sz w:val="22"/>
          <w:szCs w:val="22"/>
        </w:rPr>
        <w:t xml:space="preserve">桐昆股份的核心竞争力在于涤纶长丝规模、PTA和MEG等原料配套、参股浙石化带来的一体化延伸、全国化生产基地布局、熔体直纺与智能制造能力以及较短的客户回款周期。与新凤鸣相比，桐昆在长丝规模和产业链纵向延伸方面具备较强竞争力；与恒逸石化、恒力石化、东方盛虹和荣盛石化相比，桐昆更专注于民用涤纶长丝，但整体炼化业务权重相对较低。公司的主要短板是大宗化纤产品定价权有限，盈利易受原油及能源价格、行业供需、库存和下游纺织需求影响；上游炼化、PX、PTA和煤气资源项目资本开支较大，新材料、煤化工及海外项目的未来盈利贡献仍存在不确定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涤纶长丝和PTA加工价差存在周期性回落风险。公司2024年毛利率约4.64%、净利率约1.20%，历史上2022年净利率约0.22%，若行业供给增加、下游需求疲弱或库存上升，盈利可能较2026年上半年明显回落。</w:t>
      </w:r>
    </w:p>
    <w:p>
      <w:pPr>
        <w:pStyle w:val="ListParagraph"/>
        <w:numPr>
          <w:ilvl w:val="0"/>
          <w:numId w:val="2"/>
        </w:numPr>
        <w:spacing w:after="80" w:line="280"/>
      </w:pPr>
      <w:r>
        <w:rPr>
          <w:sz w:val="22"/>
          <w:szCs w:val="22"/>
        </w:rPr>
        <w:t xml:space="preserve">原油、PX、PTA、MEG、煤炭及天然气价格波动可能压缩利润或造成库存跌价损失。公司产品和主要原材料均与石油炼化及能源品相关，即使具备部分原料配套，也未完全摆脱大宗商品价格波动影响。</w:t>
      </w:r>
    </w:p>
    <w:p>
      <w:pPr>
        <w:pStyle w:val="ListParagraph"/>
        <w:numPr>
          <w:ilvl w:val="0"/>
          <w:numId w:val="2"/>
        </w:numPr>
        <w:spacing w:after="80" w:line="280"/>
      </w:pPr>
      <w:r>
        <w:rPr>
          <w:sz w:val="22"/>
          <w:szCs w:val="22"/>
        </w:rPr>
        <w:t xml:space="preserve">2026年上半年经营活动现金流量净额为-7.18亿元，低于上年同期的-3.00亿元，存在利润增长与现金回笼不同步的风险。若高价原料或产品库存占用资金后价格下跌，可能进一步带来营运资金压力和存货减值。</w:t>
      </w:r>
    </w:p>
    <w:p>
      <w:pPr>
        <w:pStyle w:val="ListParagraph"/>
        <w:numPr>
          <w:ilvl w:val="0"/>
          <w:numId w:val="2"/>
        </w:numPr>
        <w:spacing w:after="80" w:line="280"/>
      </w:pPr>
      <w:r>
        <w:rPr>
          <w:sz w:val="22"/>
          <w:szCs w:val="22"/>
        </w:rPr>
        <w:t xml:space="preserve">浙江石化投资收益对2026年上半年业绩增长贡献较大，但其经营数据在业绩预告阶段尚未经审计，且炼化行业景气具有波动性。若浙江石化经营情况或炼化价差回落，公司归母净利润可能低于部分机构乐观预测。</w:t>
      </w:r>
    </w:p>
    <w:p>
      <w:pPr>
        <w:pStyle w:val="ListParagraph"/>
        <w:numPr>
          <w:ilvl w:val="0"/>
          <w:numId w:val="2"/>
        </w:numPr>
        <w:spacing w:after="80" w:line="280"/>
      </w:pPr>
      <w:r>
        <w:rPr>
          <w:sz w:val="22"/>
          <w:szCs w:val="22"/>
        </w:rPr>
        <w:t xml:space="preserve">公司规模扩张和炼化、PX、PTA、煤气资源、新材料及海外项目布局具有较高资本投入特征。公司虽已获得不超过130亿元债务融资工具注册额度，但后续实际发行规模、利率、期限及资金用途尚未确定，融资成本和资本开支可能影响财务弹性。</w:t>
      </w:r>
    </w:p>
    <w:p>
      <w:pPr>
        <w:pStyle w:val="ListParagraph"/>
        <w:numPr>
          <w:ilvl w:val="0"/>
          <w:numId w:val="2"/>
        </w:numPr>
        <w:spacing w:after="80" w:line="280"/>
      </w:pPr>
      <w:r>
        <w:rPr>
          <w:sz w:val="22"/>
          <w:szCs w:val="22"/>
        </w:rPr>
        <w:t xml:space="preserve">涤纶长丝POY、FDY等通用产品同质化程度较高，公司对下游客户缺乏绝对定价权。若纺织服装、家纺、箱包或汽车内饰等终端需求恢复不及预期，下游客户可能延后采购或要求价格让利。</w:t>
      </w:r>
    </w:p>
    <w:p>
      <w:pPr>
        <w:pStyle w:val="ListParagraph"/>
        <w:numPr>
          <w:ilvl w:val="0"/>
          <w:numId w:val="2"/>
        </w:numPr>
        <w:spacing w:after="80" w:line="280"/>
      </w:pPr>
      <w:r>
        <w:rPr>
          <w:sz w:val="22"/>
          <w:szCs w:val="22"/>
        </w:rPr>
        <w:t xml:space="preserve">控股股东一致行动人浙江磊鑫实业申请发行不超过11.80亿元可交换公司债券，标的为其持有的桐昆股份股票；目前尚未完成发行或形成实际减持，但未来换股价格、换股比例及是否实际换股仍未确定，可能对市场供给和股东结构预期产生影响。</w:t>
      </w:r>
    </w:p>
    <w:p>
      <w:pPr>
        <w:pStyle w:val="ListParagraph"/>
        <w:numPr>
          <w:ilvl w:val="0"/>
          <w:numId w:val="2"/>
        </w:numPr>
        <w:spacing w:after="80" w:line="280"/>
      </w:pPr>
      <w:r>
        <w:rPr>
          <w:sz w:val="22"/>
          <w:szCs w:val="22"/>
        </w:rPr>
        <w:t xml:space="preserve">公司2023年限制性股票激励计划拟回购注销432.927万股，原因为部分激励对象离职及第三个解除限售期业绩考核未达标，反映既有激励计划存在未达成考核目标的情况；2026年限制性股票激励计划的授予规模、价格和考核目标也尚未最终确定。</w:t>
      </w:r>
    </w:p>
    <w:p>
      <w:pPr>
        <w:pStyle w:val="ListParagraph"/>
        <w:numPr>
          <w:ilvl w:val="0"/>
          <w:numId w:val="2"/>
        </w:numPr>
        <w:spacing w:after="80" w:line="280"/>
      </w:pPr>
      <w:r>
        <w:rPr>
          <w:sz w:val="22"/>
          <w:szCs w:val="22"/>
        </w:rPr>
        <w:t xml:space="preserve">截至2026年9月11日，股价低于MA5、MA10和MA20，MACD处于负值区域，9月11日下跌4.14%并伴随成交额放大，且截至9月10日主力资金净流出约8703万元。若22.8元附近支撑失守，技术弱势可能向约22.3元布林下轨及更低区域延伸；该技术判断受市场环境和数据时滞影响，不能代表确定性走势。</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桐昆股份的增长逻辑主要来自涤纶长丝和PTA价差修复、行业供给约束及去库存、下游需求改善、产能利用率提升，以及一体化布局带来的原料保障和成本协同。公司长丝、聚合和PTA产能规模较大，且参股浙江石化能够分享上游炼化环节景气改善；若产品价差和行业供需环境保持有利，规模效应、产品结构优化和投资收益改善仍可能支撑盈利处于较高水平。</w:t>
      </w:r>
    </w:p>
    <w:p>
      <w:pPr>
        <w:spacing w:after="160" w:line="300"/>
      </w:pPr>
      <w:r>
        <w:rPr>
          <w:sz w:val="22"/>
          <w:szCs w:val="22"/>
        </w:rPr>
        <w:t xml:space="preserve">未来业绩的核心观察变量包括涤纶长丝和PTA加工价差、原油及PX等原材料价格、行业新增产能和产能自律效果、下游纺织需求与库存周期，以及浙江石化经营和投资收益变化。2026年上半年盈利大幅增长，但经营现金流为负，且其中参股浙江石化投资收益贡献较大，因此不宜简单将上半年利润年化，也需关注库存价格风险、资本开支和债务融资安排对现金流与财务弹性的影响。</w:t>
      </w:r>
    </w:p>
    <w:p>
      <w:pPr>
        <w:spacing w:after="160" w:line="300"/>
      </w:pPr>
      <w:r>
        <w:rPr>
          <w:sz w:val="22"/>
          <w:szCs w:val="22"/>
        </w:rPr>
        <w:t xml:space="preserve">公司近期获得不超过130亿元债务融资工具注册额度，但该额度不代表已实际募集；控股股东一致行动人申请发行不超过11.80亿元可交换公司债券，目前亦尚未完成发行或形成实际减持。限制性股票激励计划尚待股东会审议，后续授予规模、价格及考核目标仍待确定。上述事项可能影响公司融资安排、股东持股结构和市场预期，需结合后续公告持续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桐昆股份(601233) 经营分析_F10_同花顺金融服务网 — https://basic.10jqka.com.cn/601233/operate.html</w:t>
      </w:r>
    </w:p>
    <w:p>
      <w:pPr>
        <w:spacing w:after="200"/>
      </w:pPr>
      <w:r>
        <w:rPr>
          <w:i/>
          <w:iCs/>
          <w:color w:val="595959"/>
          <w:sz w:val="18"/>
          <w:szCs w:val="18"/>
        </w:rPr>
        <w:t xml:space="preserve">桐昆股份：2026年半年度报告 - 财报 ｜ 发现报告 — https://www.fxbaogao.com/detail/5636436?utm_source=openai</w:t>
      </w:r>
    </w:p>
    <w:p>
      <w:pPr>
        <w:spacing w:after="200"/>
      </w:pPr>
      <w:r>
        <w:rPr>
          <w:i/>
          <w:iCs/>
          <w:color w:val="595959"/>
          <w:sz w:val="18"/>
          <w:szCs w:val="18"/>
        </w:rPr>
        <w:t xml:space="preserve">桐昆股份(601233)_公司公告_桐昆股份：2024年年度报告新浪财经_新浪网 — https://money.finance.sina.com.cn/corp/view/vCB_AllBulletinDetail.php?id=10985423&amp;stockid=601233&amp;utm_source=openai</w:t>
      </w:r>
    </w:p>
    <w:p>
      <w:pPr>
        <w:spacing w:after="200"/>
      </w:pPr>
      <w:r>
        <w:rPr>
          <w:i/>
          <w:iCs/>
          <w:color w:val="595959"/>
          <w:sz w:val="18"/>
          <w:szCs w:val="18"/>
        </w:rPr>
        <w:t xml:space="preserve">桐昆股份(601233)：产销规模提升 静待景气复苏_公司研究_新浪财经_新浪网 — https://stock.finance.sina.com.cn/stock/go.php/vReport_Show/kind/company/rptid/799777976376/index.phtml?utm_source=openai</w:t>
      </w:r>
    </w:p>
    <w:p>
      <w:pPr>
        <w:spacing w:after="200"/>
      </w:pPr>
      <w:r>
        <w:rPr>
          <w:i/>
          <w:iCs/>
          <w:color w:val="595959"/>
          <w:sz w:val="18"/>
          <w:szCs w:val="18"/>
        </w:rPr>
        <w:t xml:space="preserve">桐昆集团股份有限公司2024年年度报告 — https://dataclouds.cninfo.com.cn/shgonggao/2025/2025-04-26/0dd7fa3e21b411f0a00ffa163e957f7a.pdf?utm_source=openai</w:t>
      </w:r>
    </w:p>
    <w:p>
      <w:pPr>
        <w:spacing w:after="200"/>
      </w:pPr>
      <w:r>
        <w:rPr>
          <w:i/>
          <w:iCs/>
          <w:color w:val="595959"/>
          <w:sz w:val="18"/>
          <w:szCs w:val="18"/>
        </w:rPr>
        <w:t xml:space="preserve">桐昆股份｜首次评级报告 — https://doccdn.yicai.com/doc/2025/12/b5f02c764cb8113c50e066789bad244c.pdf?utm_source=openai</w:t>
      </w:r>
    </w:p>
    <w:p>
      <w:pPr>
        <w:spacing w:after="200"/>
      </w:pPr>
      <w:r>
        <w:rPr>
          <w:i/>
          <w:iCs/>
          <w:color w:val="595959"/>
          <w:sz w:val="18"/>
          <w:szCs w:val="18"/>
        </w:rPr>
        <w:t xml:space="preserve">桐昆股份(601233)的历史市盈率,历史市净率,历史股息率,新闻,财报,研报,数据 - 理财大视野 — https://dashiyetouzi.com/tools/stock.php?stock_id=601233&amp;utm_source=openai</w:t>
      </w:r>
    </w:p>
    <w:p>
      <w:pPr>
        <w:spacing w:after="200"/>
      </w:pPr>
      <w:r>
        <w:rPr>
          <w:i/>
          <w:iCs/>
          <w:color w:val="595959"/>
          <w:sz w:val="18"/>
          <w:szCs w:val="18"/>
        </w:rPr>
        <w:t xml:space="preserve">桐昆股份(601233)2026年半年报点评：PTA、长丝景气改善 半年报业绩大幅增长__新浪财经_新浪网 — https://stock.finance.sina.com.cn/stock/go.php/vReport_Show/kind/search/rptid/841455780326/index.phtml?utm_source=openai</w:t>
      </w:r>
    </w:p>
    <w:p>
      <w:pPr>
        <w:spacing w:after="200"/>
      </w:pPr>
      <w:r>
        <w:rPr>
          <w:i/>
          <w:iCs/>
          <w:color w:val="595959"/>
          <w:sz w:val="18"/>
          <w:szCs w:val="18"/>
        </w:rPr>
        <w:t xml:space="preserve">〖行业深度〗洞察2026：中国涤纶纤维行业竞争格局及市场份额（附市场集中度、企业竞争力等）_行业研究报告 - 前瞻网 — https://www.qianzhan.com/analyst/detail/220/260410-83045f8b.html</w:t>
      </w:r>
    </w:p>
    <w:p>
      <w:pPr>
        <w:spacing w:after="200"/>
      </w:pPr>
      <w:r>
        <w:rPr>
          <w:i/>
          <w:iCs/>
          <w:color w:val="595959"/>
          <w:sz w:val="18"/>
          <w:szCs w:val="18"/>
        </w:rPr>
        <w:t xml:space="preserve">2022年中国涤纶长丝行业重点企业对比分析：桐昆股份VS新凤鸣VS恒逸石化「图」_华经情报网_华经产业研究院 — https://www.huaon.com/channel/trend/863216.html</w:t>
      </w:r>
    </w:p>
    <w:p>
      <w:pPr>
        <w:spacing w:after="200"/>
      </w:pPr>
      <w:r>
        <w:rPr>
          <w:i/>
          <w:iCs/>
          <w:color w:val="595959"/>
          <w:sz w:val="18"/>
          <w:szCs w:val="18"/>
        </w:rPr>
        <w:t xml:space="preserve">桐昆股份(601233)_公司公告_桐昆股份：2026年半年度报告摘要新浪财经_新浪网 — https://vip.stock.finance.sina.com.cn/corp/view/vCB_AllBulletinDetail.php?id=12537275&amp;stockid=601233</w:t>
      </w:r>
    </w:p>
    <w:p>
      <w:pPr>
        <w:spacing w:after="200"/>
      </w:pPr>
      <w:r>
        <w:rPr>
          <w:i/>
          <w:iCs/>
          <w:color w:val="595959"/>
          <w:sz w:val="18"/>
          <w:szCs w:val="18"/>
        </w:rPr>
        <w:t xml:space="preserve">股票行情快报：桐昆股份（601233）9月10日主力资金净卖出8801.70万元_主力研究_股票_证券之星 — https://wap.stockstar.com/detail/RB2026091000036338?utm_source=openai</w:t>
      </w:r>
    </w:p>
    <w:p>
      <w:pPr>
        <w:spacing w:after="200"/>
      </w:pPr>
      <w:r>
        <w:rPr>
          <w:i/>
          <w:iCs/>
          <w:color w:val="595959"/>
          <w:sz w:val="18"/>
          <w:szCs w:val="18"/>
        </w:rPr>
        <w:t xml:space="preserve">桐昆股份(601233) 盈利预测_F10_同花顺金融服务网 — https://basic.10jqka.com.cn/176/601233/worth.html</w:t>
      </w:r>
    </w:p>
    <w:p>
      <w:pPr>
        <w:spacing w:after="200"/>
      </w:pPr>
      <w:r>
        <w:rPr>
          <w:i/>
          <w:iCs/>
          <w:color w:val="595959"/>
          <w:sz w:val="18"/>
          <w:szCs w:val="18"/>
        </w:rPr>
        <w:t xml:space="preserve">桐昆股份(601233)_公司公告_桐昆股份：2025年年度报告新浪财经_新浪网 — https://money.finance.sina.com.cn/corp/view/vCB_AllBulletinDetail.php?id=12244503&amp;stockid=601233&amp;utm_source=openai</w:t>
      </w:r>
    </w:p>
    <w:p>
      <w:pPr>
        <w:spacing w:after="200"/>
      </w:pPr>
      <w:r>
        <w:rPr>
          <w:i/>
          <w:iCs/>
          <w:color w:val="595959"/>
          <w:sz w:val="18"/>
          <w:szCs w:val="18"/>
        </w:rPr>
        <w:t xml:space="preserve">桐昆股份(601233) 盈利预测_F10_同花顺金融服务网 — https://basic.10jqka.com.cn/176/601233/worth.html?utm_source=openai</w:t>
      </w:r>
    </w:p>
    <w:p>
      <w:pPr>
        <w:spacing w:after="200"/>
      </w:pPr>
      <w:r>
        <w:rPr>
          <w:i/>
          <w:iCs/>
          <w:color w:val="595959"/>
          <w:sz w:val="18"/>
          <w:szCs w:val="18"/>
        </w:rPr>
        <w:t xml:space="preserve">盈利预测 — https://webf10.gw.com.cn/SH/B16/SH601233_B16.html?utm_source=openai</w:t>
      </w:r>
    </w:p>
    <w:p>
      <w:pPr>
        <w:spacing w:after="200"/>
      </w:pPr>
      <w:r>
        <w:rPr>
          <w:i/>
          <w:iCs/>
          <w:color w:val="595959"/>
          <w:sz w:val="18"/>
          <w:szCs w:val="18"/>
        </w:rPr>
        <w:t xml:space="preserve">平安证券首予桐昆股份推荐评级 预测2026年归母净利80.13亿元 - 观点网 — https://www.guandian.cn/m/show/600617?utm_source=openai</w:t>
      </w:r>
    </w:p>
    <w:p>
      <w:pPr>
        <w:spacing w:after="200"/>
      </w:pPr>
      <w:r>
        <w:rPr>
          <w:i/>
          <w:iCs/>
          <w:color w:val="595959"/>
          <w:sz w:val="18"/>
          <w:szCs w:val="18"/>
        </w:rPr>
        <w:t xml:space="preserve">盈利预测 — https://webf10.gw.com.cn/SH/B16/SH601233_B16.html</w:t>
      </w:r>
    </w:p>
    <w:p>
      <w:pPr>
        <w:spacing w:after="200"/>
      </w:pPr>
      <w:r>
        <w:rPr>
          <w:i/>
          <w:iCs/>
          <w:color w:val="595959"/>
          <w:sz w:val="18"/>
          <w:szCs w:val="18"/>
        </w:rPr>
        <w:t xml:space="preserve">桐昆股份(601233.SH) 股票行情_历史数据_主力资金 - 大波浪数据 — https://www.yyqyx.com/s/601233.SH</w:t>
      </w:r>
    </w:p>
    <w:p>
      <w:pPr>
        <w:spacing w:after="200"/>
      </w:pPr>
      <w:r>
        <w:rPr>
          <w:i/>
          <w:iCs/>
          <w:color w:val="595959"/>
          <w:sz w:val="18"/>
          <w:szCs w:val="18"/>
        </w:rPr>
        <w:t xml:space="preserve">桐昆股份(601233)市盈率|估值|基本面 - 理杏仁 — https://www.lixinger.com/equity/company/detail/sh/601233/601233/fundamental/valuation/pe-ttm</w:t>
      </w:r>
    </w:p>
    <w:p>
      <w:pPr>
        <w:spacing w:after="200"/>
      </w:pPr>
      <w:r>
        <w:rPr>
          <w:i/>
          <w:iCs/>
          <w:color w:val="595959"/>
          <w:sz w:val="18"/>
          <w:szCs w:val="18"/>
        </w:rPr>
        <w:t xml:space="preserve">桐昆股份(601233)_股票行情，行情首页_中财网 — https://quote.cfi.cn/quote.aspx?stockcode=601233</w:t>
      </w:r>
    </w:p>
    <w:p>
      <w:pPr>
        <w:spacing w:after="200"/>
      </w:pPr>
      <w:r>
        <w:rPr>
          <w:i/>
          <w:iCs/>
          <w:color w:val="595959"/>
          <w:sz w:val="18"/>
          <w:szCs w:val="18"/>
        </w:rPr>
        <w:t xml:space="preserve">桐昆股份 (601233) - 历史交易数据 | 打板客网 — https://dabanke.com/hangqing-601233.html</w:t>
      </w:r>
    </w:p>
    <w:p>
      <w:pPr>
        <w:spacing w:after="200"/>
      </w:pPr>
      <w:r>
        <w:rPr>
          <w:i/>
          <w:iCs/>
          <w:color w:val="595959"/>
          <w:sz w:val="18"/>
          <w:szCs w:val="18"/>
        </w:rPr>
        <w:t xml:space="preserve">桐昆股份(601233)_股票行情_证券之星 — https://stock.quote.stockstar.com/601233.shtml?utm_source=openai</w:t>
      </w:r>
    </w:p>
    <w:p>
      <w:pPr>
        <w:spacing w:after="200"/>
      </w:pPr>
      <w:r>
        <w:rPr>
          <w:i/>
          <w:iCs/>
          <w:color w:val="595959"/>
          <w:sz w:val="18"/>
          <w:szCs w:val="18"/>
        </w:rPr>
        <w:t xml:space="preserve">9月10日桐昆股份主力资金净流出 当前估值处历史高位区间 - 经济观察网 － 专业财经新闻网站 — https://www.eeo.com.cn/2026/0911/1032069.shtml?utm_source=openai</w:t>
      </w:r>
    </w:p>
    <w:p>
      <w:pPr>
        <w:spacing w:after="200"/>
      </w:pPr>
      <w:r>
        <w:rPr>
          <w:i/>
          <w:iCs/>
          <w:color w:val="595959"/>
          <w:sz w:val="18"/>
          <w:szCs w:val="18"/>
        </w:rPr>
        <w:t xml:space="preserve">SH.601233 桐昆股份 TONGKUN GROUP - 報價 - A股 - etnet 經濟通 Mobile|香港新聞財經資訊和生活平台 — https://www.etnet.com.hk/mobile/tc/ashares/quote.php?code=601233</w:t>
      </w:r>
    </w:p>
    <w:p>
      <w:pPr>
        <w:spacing w:after="200"/>
      </w:pPr>
      <w:r>
        <w:rPr>
          <w:i/>
          <w:iCs/>
          <w:color w:val="595959"/>
          <w:sz w:val="18"/>
          <w:szCs w:val="18"/>
        </w:rPr>
        <w:t xml:space="preserve">桐昆股份(601233)股票历史数据:历史行情,价格,走势图表_英为财情Investing.com — https://cn.investing.com/equities/tongkun-group-historical-data</w:t>
      </w:r>
    </w:p>
    <w:p>
      <w:pPr>
        <w:spacing w:after="200"/>
      </w:pPr>
      <w:r>
        <w:rPr>
          <w:i/>
          <w:iCs/>
          <w:color w:val="595959"/>
          <w:sz w:val="18"/>
          <w:szCs w:val="18"/>
        </w:rPr>
        <w:t xml:space="preserve">桐昆股份(601233.SH) 股票行情_历史数据_主力资金 - 大波浪数据 — https://www.yyqyx.com/s/601233.SH?utm_source=openai</w:t>
      </w:r>
    </w:p>
    <w:p>
      <w:pPr>
        <w:spacing w:after="200"/>
      </w:pPr>
      <w:r>
        <w:rPr>
          <w:i/>
          <w:iCs/>
          <w:color w:val="595959"/>
          <w:sz w:val="18"/>
          <w:szCs w:val="18"/>
        </w:rPr>
        <w:t xml:space="preserve">桐昆股份(601233)个股分析_牛叉诊股_同花顺财经 — https://doctor.10jqka.com.cn/601233/?utm_source=openai</w:t>
      </w:r>
    </w:p>
    <w:p>
      <w:pPr>
        <w:spacing w:after="200"/>
      </w:pPr>
      <w:r>
        <w:rPr>
          <w:i/>
          <w:iCs/>
          <w:color w:val="595959"/>
          <w:sz w:val="18"/>
          <w:szCs w:val="18"/>
        </w:rPr>
        <w:t xml:space="preserve">桐昆股份(601233) 最新动态_F10_同花顺金融服务网 — https://basic.10jqka.com.cn/601233/index.html?utm_source=openai</w:t>
      </w:r>
    </w:p>
    <w:p>
      <w:pPr>
        <w:spacing w:after="200"/>
      </w:pPr>
      <w:r>
        <w:rPr>
          <w:i/>
          <w:iCs/>
          <w:color w:val="595959"/>
          <w:sz w:val="18"/>
          <w:szCs w:val="18"/>
        </w:rPr>
        <w:t xml:space="preserve">本报告由AI基于公开渠道信息自动检索、整理并生成，信息截至 截至2026年9月11日收盘；MACD、RSI及部分主力资金数据截至2026年9月10日，股东结构数据截至2026年6月30日，存在时间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2026-09-13T15:55:41.376Z</dcterms:created>
  <dcterms:modified xsi:type="dcterms:W3CDTF">2026-09-13T15:55:41.376Z</dcterms:modified>
</cp:coreProperties>
</file>

<file path=docProps/custom.xml><?xml version="1.0" encoding="utf-8"?>
<Properties xmlns="http://schemas.openxmlformats.org/officeDocument/2006/custom-properties" xmlns:vt="http://schemas.openxmlformats.org/officeDocument/2006/docPropsVTypes"/>
</file>