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工商银行 (601398)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行业：大型商业银行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报告日期：2026年10月22日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行情截至2026-10-22收盘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核心结论：营收高增靠减值多提吞掉，高股息重估已至历史极值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8.59元（+1.66%）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约30615.30亿元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8.18倍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0.77倍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6.53～8.65元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37.62亿元／0.16%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行情数据截至：2026-10-22收盘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营收超预期但利润被减值吞噬</w:t>
      </w:r>
      <w:r>
        <w:rPr>
          <w:sz w:val="22"/>
          <w:szCs w:val="22"/>
        </w:rPr>
        <w:t xml:space="preserve">：2026H1营收4658.59亿元同比+9.1%，归母仅+3.3%，差额主要来自减值损失+22.2%的主动多提；扣非+3.2%，利润质量干净但弹性被压制。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息差企稳与零售风险赛跑</w:t>
      </w:r>
      <w:r>
        <w:rPr>
          <w:sz w:val="22"/>
          <w:szCs w:val="22"/>
        </w:rPr>
        <w:t xml:space="preserve">：2026H1净息差1.29%同比仅-1bp、较2025全年+1bp，负债成本下行对冲；但个人贷款不良率1.77%、信用卡不良5.37%，信用成本同比+9bp至0.79%。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估值处历史极值，股息率是锚</w:t>
      </w:r>
      <w:r>
        <w:rPr>
          <w:sz w:val="22"/>
          <w:szCs w:val="22"/>
        </w:rPr>
        <w:t xml:space="preserve">：PE 8.18倍、PB 0.77倍均处近5.2年100%分位，显著高于中位数5.27倍/0.59倍；股息率约3.61%，机构目标均价9.43元，现价8.59元。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：一致预期2026-28年净利润增速仅3.2%/3.7%/4.5%，但PE、PB同处近5.2年100%分位，定价的是高股息资产重估与无风险利率下行，而非盈利加速。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现价在年化8%回报、10年后15倍PE假设下隐含10年EPS年均增长约1.7%，与机构短期净利润预测的期限及指标不同，不能直接比较高低。半年报营收+9.1%超预期但利润仅+3.3%，证据与一致预期基本吻合，估值抬升缺乏盈利加速支撑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证据倾向：偏空；置信度：中（部分财务字段仍缺官方核验或披露日期、部分数据源不可用或降级，核验覆盖受限）</w:t>
      </w:r>
    </w:p>
    <w:p>
      <w:pPr>
        <w:spacing w:after="160" w:line="300"/>
      </w:pPr>
      <w:r>
        <w:rPr>
          <w:sz w:val="22"/>
          <w:szCs w:val="22"/>
        </w:rPr>
        <w:t xml:space="preserve">盈利增速仅3%出头、ROE下行，估值却处近5.2年最高分位，基本面方向与估值位置背离，向上空间已被透支。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吸收企业和个人存款，投放贷款并配置投资资产赚取利差，同时通过结算、托管、理财和代理服务获取非息收入。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公司金融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49.0%（2025年）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类毛利率50.31%（2025年，非标准口径）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4.24%（2025年同比）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集团最大收入板块，贡献税前利润48.7%。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个人金融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39.1%（2025年）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类毛利率43.26%（2025年，非标准口径）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0.88%（2025年同比）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收入基本持平，涵盖个人存贷款、银行卡及理财等业务。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资金业务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11.2%（2025年）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类毛利率75.68%（2025年，非标准口径）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-2.06%（2025年同比）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收入略降，税前利润贡献占集团16.8%。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类毛利率约78.60%（2025年，非标准口径）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-16.23%（2025年同比）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收入体量较小。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规模与客户基础：2025年末资产53.48万亿元、存款37.31万亿元，客户覆盖广。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品牌：公司披露连续十三年位列《银行家》全球银行1000强榜首。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渠道与科技：2025年手机银行客户规模、月均活跃客户称居可比同业第一。</w:t>
      </w:r>
    </w:p>
    <w:p>
      <w:pPr>
        <w:spacing w:after="160" w:line="300"/>
      </w:pPr>
      <w:r>
        <w:rPr>
          <w:sz w:val="22"/>
          <w:szCs w:val="22"/>
        </w:rPr>
        <w:t xml:space="preserve">主要威胁：2025年净利息收益率降至1.28%，贷款收益率降幅大于存款付息率；信用减值损失同比增长5.8%。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主要资金投入为客户存款、同业及其他金融机构资金、发行债务证券和存款证等；2025年平均存款付息率1.36%。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规模和负债结构管理可影响资金成本，但受市场利率、监管和存款竞争约束；贷款及债券资产收益率总体随利率环境变化。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下游包括借款企业、政府机构、金融机构及个人客户，提供信贷、结算和综合金融服务；不适用制造业客户年降模式。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资产、负债两端均受利率、监管及同业竞争影响，银行难以将成本变化完全转嫁给借款人或存款人。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2025年末最大十家借款人贷款占各项贷款3.4%；年报未披露可直接比较的前五大销售客户收入占比，借款人集中度不能替代该指标。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2025年末贷款/客户存款约81.8%，贷款增速7.5%、存款增速7.1%；存款平均付息率降至1.36%，净利息收益率仍降至1.28%。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净利息收益率1.61%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约43.31%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年报将利差及收益率压力与LPR下调等因素联系。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净利息收益率1.42%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约44.65%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存量贷款重定价及利率下降延续息差压力。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净利息收益率1.28%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约44.23%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贷款收益率下降49个基点，存款付息率下降36个基点，资产端降幅更大。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工商银行处于大型商业银行资金中介与综合金融服务环节，并非依靠产品品牌溢价获取高毛利；利润改善主要取决于息差企稳、负债成本优化、信用成本可控及非息业务增长。净利息收益率趋势采用年报口径，银行业不以制造业毛利率衡量盈利能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大型银行仍以存贷款利差为主要收入来源；2025年工行净利息收益率继续下行，非利息收入增长支撑营业收入同比增加2.0%。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建设银行（601939）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大型国有银行，住房金融业务突出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2025年营收7,610.49亿元；净息差约1.34%；PE(TTM) 8.81倍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体量较工行小，净息差高于工行。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农业银行（601288）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大型国有银行，县域与普惠金融覆盖广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2025年营收7,253.06亿元；净息差约1.28%；PE(TTM) 8.69倍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净息差与工行接近，县域及农业金融特色更突出。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中国银行（601988）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大型国有银行，跨境及外汇业务突出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2025年营收6,583.10亿元；净息差约1.26%；PE(TTM) 9.34倍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体量较工行小，跨境与外汇业务更具代表性。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招商银行（600036）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零售与财富管理导向的股份制银行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2025年营收3,375.32亿元；净息差约1.87%；PE(TTM) 6.95倍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体量显著较小，零售财富管理模式及净息差不同。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工行的优势在于资产、存款和客户规模，营业收入高于所列同业；但2025年净利息收益率为1.28%，低于建行及招行、与农行相近，规模优势尚未转化为明显的息差领先。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4658.59亿元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+9.1%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1736.82亿元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+3.3%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+3.2%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2025A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8382.70亿元人民币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+2.0%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3685.62亿元人民币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+0.7%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+1.1%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2024A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8218.03亿元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-2.5%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3658.63亿元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+0.5%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+0.8%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营收+9.1%而归母仅+3.3%，差额主要来自减值损失+22.2%的主动多提，扣非与归母基本重合（非经常性损益仅6亿元），账面利润质量干净。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净息差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1.29%（2026H1年化）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同比-1bp、较2025全年+1bp，负债成本下行对冲资产收益走低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不良贷款率/拨备覆盖率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1.29%/217.58%（2026-06末）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不良率较年末降2bp，拨备覆盖率升3.98pp，安全垫加厚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核心一级资本充足率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13.21%（2026-06末）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较年末降0.36pp，仍显著高于监管要求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加权平均ROE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8.63%（2026H1年化）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同比-0.19pp，2025全年9.45%，仍处下行通道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成本收入比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22.70%（2026H1）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同比-1.40pp，费用管控有效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信用成本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0.79%（2026H1）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同比+9bp，核销转出819亿元创同期新高，零售资产仍承压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8.18倍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近5.2年100%分位（中位数5.27倍）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中位数8.75倍（建设银行8.81、农业银行8.69、中国银行9.34、招商银行6.95）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0.77倍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近5.2年100%分位（中位数0.59倍）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中位数0.88倍（建设银行0.85、农业银行0.91、中国银行0.85、招商银行0.92）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3.49倍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近5.2年99%分位（中位数2.08倍）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中位数3.38倍（建设银行3.80、农业银行3.38、中国银行3.39、招商银行3.05）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股息率（2025年度合计）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约3.61%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估值倍数由程序按2026-10-22收盘数据计算（滚动十二个月口径）；同行倍数按2026-10-22收盘数据同口径计算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8.18倍市盈率计，若投资者要求年化8%的回报、10年后按15倍市盈率估值，每股收益需年均增长约1.7%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 8.18倍、PB 0.77倍、PS 3.49倍分别处近5.2年100%、100%、99%分位，均为区间最高；市场隐含10年EPS年均增速约1.7%（仅为算术结果），与3%-4.5%的一致预期利润增速期限不同、不可直接比较。价格隐含的是股息率对无风险利率的持续敏感，而非盈利改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8961亿元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3804亿元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+3.2%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1.0436元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9464亿元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3945亿元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+3.7%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1.0850元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9983亿元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4123亿元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+4.5%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1.1346元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东方财富F10一致预期（2026-10-22），14/14/13家机构；2026E净利润区间约3690-3815亿元，EPS 1.00-1.07元。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近90天11家机构评级（买入8/增持3），目标均价9.43元；近期目标价区间8.10-9.63元，现价约8.59元。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2026-08-30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目标价9.63元（0.83x 2026E PB）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浙商证券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2026-09-17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目标价9.23元（0.80x 2026E PB）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汇丰环球研究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持有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2026-08-31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A股目标价8.10元，H股8.60港元买入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兴业证券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2026-09-02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 EPS 1.00元，为一致预期下沿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美银证券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2026-02-09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目标价8.48元，早于半年报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2026-10-31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2026年三季报披露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营收与净息差同比能否延续半年报的+9.1%和1.29%水平；个人贷款与信用卡不良率是否继续上行，若零售不良再升超10bp则资产质量逻辑转弱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2026年四季度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上交所上市审核委审议定增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是否安排审议会议并获通过；问询后若被要求二次问询或暂缓表决，视为发行进度不及预期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2026年四季度至2027年一季度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证监会同意定增注册及金监总局批准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注册批文与监管批准的落地时点；任一环节延迟将推后1,000亿元资本补充，压制CET1改善预期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2026年四季度至2027年一季度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定增发行定价与新股上市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最终发行价相对前20日均价的溢价幅度与摊薄比例；若发行价接近均價下限、摊薄超3.6%，老股东稀释压力偏大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2026-10-14 回复上交所定增审核问询函（中性）</w:t>
      </w:r>
      <w:r>
        <w:rPr>
          <w:sz w:val="22"/>
          <w:szCs w:val="22"/>
        </w:rPr>
        <w:t xml:space="preserve">：公司与农行、人保同步回复问询，问询聚焦报告期内行政处罚是否构成重大违法、未决诉讼预计负债计提是否充分，公司及中介机构结论为不构成实质性法律障碍。定增审核进入下一环节，尚待上交所审议、证监会注册及金监总局批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2026-09-06 拟定向增发1000亿元补充核心资本（中性）</w:t>
      </w:r>
      <w:r>
        <w:rPr>
          <w:sz w:val="22"/>
          <w:szCs w:val="22"/>
        </w:rPr>
        <w:t xml:space="preserve">：向财政部、中国烟草系6家对象现金发行不超1,000亿元，全部补充核心一级资本，认购股份锁定5年。按8.13元示例价测算摊薄约3.6%、可提升CET1约0.3-0.4pct（公司测算口径），发行价不低于前20日均价；公司提示净利润增速若不及净资产增速，短期EPS与ROE可能下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2026-10-15 中期分红比例升至31%，已完成除权（利好）</w:t>
      </w:r>
      <w:r>
        <w:rPr>
          <w:sz w:val="22"/>
          <w:szCs w:val="22"/>
        </w:rPr>
        <w:t xml:space="preserve">：每10股派1.511元，派息总额约538.53亿元，占归母净利润31.0%，分红比例较上年30.01%上调，为国有大行2015年来首次上调。A股股权登记日10-20、除权派息日10-21，该利好在价格中已兑现。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2026-08-28 半年报：个人贷款不良率上升至1.77%（利空）</w:t>
      </w:r>
      <w:r>
        <w:rPr>
          <w:sz w:val="22"/>
          <w:szCs w:val="22"/>
        </w:rPr>
        <w:t xml:space="preserve">：不良率1.29%（较年初-2bp）、拨备覆盖率217.58%（+3.98pct），资产质量整体改善；但个人贷款不良率1.77%（较年初+19bp），信用卡透支不良率由4.61%升至5.37%，零售端风险抬头是季报前核心跟踪点。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中期分红比例升至31%，为国有大行2015年来首次上调，派息538.53亿元，股息率约3.61%对长线资金仍有吸引力。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不良率1.29%较年初降2bp、拨备覆盖率217.58%升3.98pct，资产质量安全垫在加厚而非消耗。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核心一级资本充足率13.21%远高于监管要求，1,000亿元定增落地后可再提升约0.3-0.4pct，资本约束不构成扩张瓶颈。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净利息收益率2025年1.28%较2023年1.61%累计下行33bp，贷款收益率降幅49bp大于存款付息率36bp，息差修复缺乏弹性。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2026H1减值损失同比+22.2%、核销转出819亿元创同期新高，主动多提说明零售资产压力尚未出清。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PB 0.77倍处近5.2年100%分位、高于中位数0.59倍，而2028E净利润增速仅4.5%，估值与盈利增速不匹配。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定增尚待上交所审议、证监会注册及金监总局批准，任一环节延迟将推后1,000亿元资本补充，压制CET1改善预期。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按示例价测算摊薄约3.6%，若发行价接近均价下限且摊薄超3.6%，短期EPS与ROE承压将直接压制估值。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信用卡透支不良率由4.61%升至5.37%，零售风险若延续将推高信用成本，侵蚀利润增速。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PS 3.49倍处近5.2年99%分位，营收增速一旦回落至个位数，市销率向中位数2.08倍回归会放大股价波动。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2026年三季报净息差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 1.29%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维持1.29%或以上，负债成本继续对冲资产收益下行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回落至1.27%以下，息差企稳逻辑被证伪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个人贷款与信用卡不良率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1.77% / 5.37%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三季报个人贷款不良率持平或回落至1.77%以下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个人贷款不良率再升超10bp或信用卡不良破5.5%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定增审核与发行定价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已回复问询，待上交所审议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四季度过会并获注册，发行价高于前20日均价下限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被二次问询或暂缓表决，或摊薄比例超3.6%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信用成本与减值计提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 0.79%，同比+9bp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三季报信用成本回落至0.75%以下，减值增速放缓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信用成本升破0.85%，核销规模继续创同期新高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风险提示：以下内容为基于当前技术面与资金面数据的主观情景推演，不构成投资建议。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价格创新高8.65元，均线多头排列、MACD红柱扩张，趋势强；但RSI6达84.5、收盘价站上布林上轨、PE与PB均处近5.2年100%分位，短线超买与估值压力并存。放量站上上轨后能否守住量能是关键，追高性价比下降。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均线结构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8.45 / MA10 8.36 / MA20 8.18 / MA60 7.87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多头排列，价格位于全部均线上方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MACD(12,26,9)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0.168 / DEA 0.140 / 柱 0.055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红柱续扩，上行动能仍在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84.5 / RSI14 74.9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双双超买，短线过热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8.61 / 中轨 8.18 / 下轨 7.76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收盘价已站上上轨，开口偏热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量能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最新一日为近20日均量的1.44倍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放量突破，但需持续验证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8.61~8.65元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布林上轨与52周新高重合，站稳其上打开新的上行空间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8.36~8.45元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MA5与MA10密集区，失守则短线转弱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7.87~8.18元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MA20与MA60，跌破8.18元将指向7.87元并回补布林中轨下方空间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以2026-10-22价格8.59元为基准，用近300个交易日的收益分布（按当前指数加权日波动率约1.1%缩放，保留这只股票自身的大涨大跌频率）推算未来5个交易日的收盘价范围：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8.43～8.81元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-1.9%～+2.6%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8.17～8.99元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-4.9%～+4.7%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震荡整理（相对权重约五成）</w:t>
      </w:r>
      <w:r>
        <w:rPr>
          <w:sz w:val="22"/>
          <w:szCs w:val="22"/>
        </w:rPr>
        <w:t xml:space="preserve">：8.40~8.65元区间反复消化超买，成交额回落至25亿元下方，板块无新催化。按历史波动率测算，一周后收盘落在该区间的概率约45%。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偏弱回落（权重约三成）</w:t>
      </w:r>
      <w:r>
        <w:rPr>
          <w:sz w:val="22"/>
          <w:szCs w:val="22"/>
        </w:rPr>
        <w:t xml:space="preserve">：RSI超买叠加估值高位触发获利了结，跌破8.36元并下探8.18元中轨。按历史波动率测算，一周后收盘落在该区间的概率约10%。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反弹走强（权重约两成）</w:t>
      </w:r>
      <w:r>
        <w:rPr>
          <w:sz w:val="22"/>
          <w:szCs w:val="22"/>
        </w:rPr>
        <w:t xml:space="preserve">：量能维持1.4倍以上并站稳8.65元，三季报或定增审核推进形成催化。按历史波动率测算，一周后收盘落在该区间的概率约30%。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成交额21.53亿~37.62亿元，换手率仅0.1%~0.16%，大盘股盘口厚、冲击成本低。截至2026-06-30前十大流通股东合计占95.57%，汇金34.79%、财政部31.14%、香港中央结算(代理人)24.19%、社保基金3.46%构成绝对主导，公募与保险占比不足1%，流通盘高度锁定，结构可能已变化。</w:t>
      </w:r>
    </w:p>
    <w:p>
      <w:pPr>
        <w:spacing w:after="160" w:line="300"/>
      </w:pPr>
      <w:r>
        <w:rPr>
          <w:sz w:val="22"/>
          <w:szCs w:val="22"/>
        </w:rPr>
        <w:t xml:space="preserve">若单日成交额维持在35亿元以上且续创新高，视为资金持续介入；若萎缩至22亿元下方而价格滞涨，则上攻动能减弱。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-22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Industrial and Commercial Bank of China Limited - Annual Report 2025 | FinancialFilings — https://financialfilings.com/filings/industrial-and-commercial-bank-of-china-limited/annual-report/2026/33061441/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中国工商银行股份有限公司 — https://www1.hkexnews.hk/listedco/listconews/sehk/2026/0327/2026032703406_c.pdf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经营分部信息概要 — https://static.cninfo.com.cn/finalpage/2026-03-28/1225047240.PDF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Industrial and Commercial Bank of China Limited - Annual Report 2025 | FinancialFilings — https://financialfilings.com/filings/industrial-and-commercial-bank-of-china-limited/annual-report/2026/33061427/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精读财报｜国有六大行成绩单：营收净利均“双增” 重点领域支持力度再加码 - 新华网客户端 — https://app.xinhuanet.com/news/article.html?articleId=2026040264c212e3341141f79f5ad010d828f29f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农业银行:农业银行2025年度报告摘要 _ 农业银行(601288) _ 公告正文 — https://data.eastmoney.com/notices/detail/601288/AN202603301820865895.html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招商银行(600036)_公司公告_招商银行：2025年度业绩快报公告新浪财经_新浪网 — https://vip.stock.finance.sina.com.cn/corp/view/vCB_AllBulletinDetail.php?id=11931862&amp;stockid=600036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中国工商银行股份有限公司网站-投资者关系栏目-下载中心栏目-2025年度报告（A股） — https://www.icbc-ltd.com/page/1211087084107182080.html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工商银行2026半年度报告 — https://static.cninfo.com.cn/finalpage/2026-08-29/1225526043.PDF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工商银行2024年度报告 — https://static.cninfo.com.cn/finalpage/2025-03-29/1222948914.PDF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工商银行2023年度报告 — https://static.cninfo.com.cn/finalpage/2024-03-28/1219429144.PDF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腾讯财经行情（2026-10-22） — https://gu.qq.com/sh601398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https://emweb.securities.eastmoney.com/pc_hsf10/pages/index.html?type=web&amp;code=SH601398#/cwfx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中國工商銀行中國網站-工行風貌頻道-工行快訊欄目-工商銀行2026年上半年經營發展穩中有進、向優向強 — https://big5.icbc.com.cn/page/1267851085701156864.html#1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工商銀行：2026年上半年經營發展穩中有進、向優向強 — https://finance.people.com.cn/BIG5/n1/2026/0828/c1004-40788219.html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工商银行：2026年上半年经营发展稳中有进、向优向强 — http://finance.people.com.cn/n1/2026/0828/c1004-40788219.html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工商银行:工商银行关于向特定对象发行A股股票申请获得上海证券交易所受理的公告 — https://www.cnfin.com/announ/detail/index.html?id=844802103254&amp;code=601398&amp;dannoun=lcdetail&amp;announ=lc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中国证券报 - 中国工商银行股份有限公司&lt;BR/&gt;关于向特定对象发行A股股票申请获得上海证券交易所受理的公告 — http://app.cnstock.com/zzb/zgzqb/html/2026-10/09/nw.D110000zgzqb_20261009_5-B028.htm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工商银行、农业银行、中国人保，同步公告 — https://www.stcn.com/article/detail/4218938.html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财政部注资迎新进展 3家金融央企回复上交所问询函 — https://stcn.com/article/detail/4218979.html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中国工商银行股份有限公司A股2026年半年度分红派息实施公告 - 中国工商银行股份有限公司 — https://paper.cnstock.com/html/2026-10/15/content_2277506.htm#1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财政部注资迎新进展 3家金融央企回复上交所问询函 - 财政部注资迎新进展 3家金融央企回复上交所问询函 — https://www.cnstock.com/commonDetail/802567#1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上交所受理，工行、农行注资获新进展 — https://news.qq.com/rain/a/20261010A04HY900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上交所受理，工行、农行注资获新进展 — https://www.163.com/dy/article/L8SH106U0514R9OJ.html?spss=dy_author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https://data.eastmoney.com/zjlx/601398.html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https://emweb.securities.eastmoney.com/pc_hsf10/pages/index.html?type=web&amp;code=SH601398#/gdyj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2026-10-22收盘，可能存在时效性差异，具体数据请以公司正式公告及权威数据终端为准。本报告仅为信息整理与研究参考，不构成任何投资建议，投资者应独立判断并自行承担投资风险。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2026-10-22T13:17:57.453Z</dcterms:created>
  <dcterms:modified xsi:type="dcterms:W3CDTF">2026-10-22T13:17:57.453Z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