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宁波三星医疗电气股份有限公司 (601567)</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行业：智能配用电与医疗服务</w:t>
      </w:r>
    </w:p>
    <w:p>
      <w:pPr>
        <w:jc w:val="center"/>
      </w:pPr>
      <w:r>
        <w:rPr>
          <w:color w:val="595959"/>
          <w:sz w:val="22"/>
          <w:szCs w:val="22"/>
        </w:rPr>
        <w:t xml:space="preserve">报告日期：2026年10月1日</w:t>
      </w:r>
    </w:p>
    <w:p>
      <w:pPr>
        <w:jc w:val="center"/>
      </w:pPr>
      <w:r>
        <w:rPr>
          <w:color w:val="595959"/>
          <w:sz w:val="20"/>
          <w:szCs w:val="20"/>
        </w:rPr>
        <w:t xml:space="preserve">行情截至2026年9月30日收盘；展望期为10月8日至14日</w:t>
      </w:r>
    </w:p>
    <w:p>
      <w:pPr>
        <w:spacing w:before="800"/>
        <w:jc w:val="center"/>
      </w:pPr>
      <w:r>
        <w:rPr>
          <w:i/>
          <w:iCs/>
          <w:color w:val="595959"/>
          <w:sz w:val="18"/>
          <w:szCs w:val="18"/>
        </w:rPr>
        <w:t xml:space="preserve">本报告基于公开信息由AI自动整理生成，仅供参考，不构成投资建议</w:t>
      </w:r>
    </w:p>
    <w:p>
      <w:r>
        <w:br w:type="page"/>
      </w:r>
    </w:p>
    <w:p>
      <w:pPr>
        <w:spacing w:after="160" w:line="300"/>
      </w:pPr>
      <w:r>
        <w:rPr>
          <w:b/>
          <w:bCs/>
          <w:color w:val="1F4E79"/>
          <w:sz w:val="22"/>
          <w:szCs w:val="22"/>
        </w:rPr>
        <w:t xml:space="preserve">核心结论：上半年利润断崖式下滑，海外订单尚不足以支撑高PE所需的复苏</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3200"/>
        <w:gridCol w:w="6700"/>
      </w:tblGrid>
      <w:tr>
        <w:trPr>
          <w:tblHeader/>
        </w:trPr>
        <w:tc>
          <w:tcPr>
            <w:tcW w:type="dxa" w:w="3200"/>
            <w:shd w:fill="1F4E79" w:val="clear"/>
            <w:tcMar>
              <w:top w:type="dxa" w:w="80"/>
              <w:left w:type="dxa" w:w="100"/>
              <w:bottom w:type="dxa" w:w="80"/>
              <w:right w:type="dxa" w:w="100"/>
            </w:tcMar>
            <w:vAlign w:val="center"/>
          </w:tcPr>
          <w:p>
            <w:pPr>
              <w:jc w:val="center"/>
            </w:pPr>
            <w:r>
              <w:rPr>
                <w:b/>
                <w:bCs/>
                <w:color w:val="FFFFFF"/>
                <w:sz w:val="20"/>
                <w:szCs w:val="20"/>
              </w:rPr>
              <w:t xml:space="preserve">关键数据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200"/>
            <w:tcMar>
              <w:top w:type="dxa" w:w="80"/>
              <w:left w:type="dxa" w:w="100"/>
              <w:bottom w:type="dxa" w:w="80"/>
              <w:right w:type="dxa" w:w="100"/>
            </w:tcMar>
            <w:vAlign w:val="center"/>
          </w:tcPr>
          <w:p>
            <w:pPr>
              <w:jc w:val="left"/>
            </w:pPr>
            <w:r>
              <w:rPr>
                <w:b w:val="false"/>
                <w:bCs w:val="false"/>
                <w:color w:val="000000"/>
                <w:sz w:val="20"/>
                <w:szCs w:val="20"/>
              </w:rPr>
              <w:t xml:space="preserve">收盘价（当日涨跌幅）</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13.67元（-1.37%）</w:t>
            </w:r>
          </w:p>
        </w:tc>
      </w:tr>
      <w:tr>
        <w:tc>
          <w:tcPr>
            <w:tcW w:type="dxa" w:w="3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总市值</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约192.09亿元</w:t>
            </w:r>
          </w:p>
        </w:tc>
      </w:tr>
      <w:tr>
        <w:tc>
          <w:tcPr>
            <w:tcW w:type="dxa" w:w="3200"/>
            <w:tcMar>
              <w:top w:type="dxa" w:w="80"/>
              <w:left w:type="dxa" w:w="100"/>
              <w:bottom w:type="dxa" w:w="80"/>
              <w:right w:type="dxa" w:w="100"/>
            </w:tcMar>
            <w:vAlign w:val="center"/>
          </w:tcPr>
          <w:p>
            <w:pPr>
              <w:jc w:val="left"/>
            </w:pPr>
            <w:r>
              <w:rPr>
                <w:b w:val="false"/>
                <w:bCs w:val="false"/>
                <w:color w:val="000000"/>
                <w:sz w:val="20"/>
                <w:szCs w:val="20"/>
              </w:rPr>
              <w:t xml:space="preserve">PE(TTM)</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32.55倍</w:t>
            </w:r>
          </w:p>
        </w:tc>
      </w:tr>
      <w:tr>
        <w:tc>
          <w:tcPr>
            <w:tcW w:type="dxa" w:w="3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PB(MRQ)</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1.64倍</w:t>
            </w:r>
          </w:p>
        </w:tc>
      </w:tr>
      <w:tr>
        <w:tc>
          <w:tcPr>
            <w:tcW w:type="dxa" w:w="3200"/>
            <w:tcMar>
              <w:top w:type="dxa" w:w="80"/>
              <w:left w:type="dxa" w:w="100"/>
              <w:bottom w:type="dxa" w:w="80"/>
              <w:right w:type="dxa" w:w="100"/>
            </w:tcMar>
            <w:vAlign w:val="center"/>
          </w:tcPr>
          <w:p>
            <w:pPr>
              <w:jc w:val="left"/>
            </w:pPr>
            <w:r>
              <w:rPr>
                <w:b w:val="false"/>
                <w:bCs w:val="false"/>
                <w:color w:val="000000"/>
                <w:sz w:val="20"/>
                <w:szCs w:val="20"/>
              </w:rPr>
              <w:t xml:space="preserve">52周区间</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12.83~33.52元</w:t>
            </w:r>
          </w:p>
        </w:tc>
      </w:tr>
      <w:tr>
        <w:tc>
          <w:tcPr>
            <w:tcW w:type="dxa" w:w="3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成交额/换手率</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3.34亿元/1.73%</w:t>
            </w:r>
          </w:p>
        </w:tc>
      </w:tr>
    </w:tbl>
    <w:p>
      <w:pPr>
        <w:spacing w:before="200"/>
      </w:pPr>
    </w:p>
    <w:p>
      <w:pPr>
        <w:spacing w:after="200"/>
      </w:pPr>
      <w:r>
        <w:rPr>
          <w:i/>
          <w:iCs/>
          <w:color w:val="595959"/>
          <w:sz w:val="18"/>
          <w:szCs w:val="18"/>
        </w:rPr>
        <w:t xml:space="preserve">行情数据截至：行情截至2026年9月30日收盘；展望期为10月8日至14日</w:t>
      </w:r>
    </w:p>
    <w:p>
      <w:pPr>
        <w:pStyle w:val="Heading1"/>
        <w:pBdr>
          <w:bottom w:val="single" w:color="1F4E79" w:sz="6" w:space="4"/>
        </w:pBdr>
        <w:spacing w:after="160" w:before="360"/>
      </w:pPr>
      <w:r>
        <w:rPr>
          <w:b/>
          <w:bCs/>
          <w:color w:val="1F4E79"/>
          <w:sz w:val="30"/>
          <w:szCs w:val="30"/>
        </w:rPr>
        <w:t xml:space="preserve">一、投资要点</w:t>
      </w:r>
    </w:p>
    <w:p>
      <w:pPr>
        <w:pStyle w:val="ListParagraph"/>
        <w:numPr>
          <w:ilvl w:val="0"/>
          <w:numId w:val="2"/>
        </w:numPr>
        <w:spacing w:after="80" w:line="280"/>
      </w:pPr>
      <w:r>
        <w:rPr>
          <w:b/>
          <w:bCs/>
          <w:sz w:val="22"/>
          <w:szCs w:val="22"/>
        </w:rPr>
        <w:t xml:space="preserve">利润下滑远超收入，盈利承压</w:t>
      </w:r>
      <w:r>
        <w:rPr>
          <w:sz w:val="22"/>
          <w:szCs w:val="22"/>
        </w:rPr>
        <w:t xml:space="preserve">：2026H1营收同比下降8.90%，归母净利润下降55.61%、扣非下降63.46%，毛利率降至24.82%。</w:t>
      </w:r>
    </w:p>
    <w:p>
      <w:pPr>
        <w:pStyle w:val="ListParagraph"/>
        <w:numPr>
          <w:ilvl w:val="0"/>
          <w:numId w:val="2"/>
        </w:numPr>
        <w:spacing w:after="80" w:line="280"/>
      </w:pPr>
      <w:r>
        <w:rPr>
          <w:b/>
          <w:bCs/>
          <w:sz w:val="22"/>
          <w:szCs w:val="22"/>
        </w:rPr>
        <w:t xml:space="preserve">海外订单增量待兑现，主业仍弱</w:t>
      </w:r>
      <w:r>
        <w:rPr>
          <w:sz w:val="22"/>
          <w:szCs w:val="22"/>
        </w:rPr>
        <w:t xml:space="preserve">：美国数据中心项目合同约8.85亿元、波兰合同约1.75亿元；但2025年配用电收入仅增0.38%，医疗服务收入下降8.67%。</w:t>
      </w:r>
    </w:p>
    <w:p>
      <w:pPr>
        <w:pStyle w:val="ListParagraph"/>
        <w:numPr>
          <w:ilvl w:val="0"/>
          <w:numId w:val="2"/>
        </w:numPr>
        <w:spacing w:after="80" w:line="280"/>
      </w:pPr>
      <w:r>
        <w:rPr>
          <w:b/>
          <w:bCs/>
          <w:sz w:val="22"/>
          <w:szCs w:val="22"/>
        </w:rPr>
        <w:t xml:space="preserve">PE处历史高位，PB处低位</w:t>
      </w:r>
      <w:r>
        <w:rPr>
          <w:sz w:val="22"/>
          <w:szCs w:val="22"/>
        </w:rPr>
        <w:t xml:space="preserve">：9月30日收盘13.67元，PE-TTM 32.55倍、近5.2年98%分位；PB 1.64倍、5%分位。</w:t>
      </w:r>
    </w:p>
    <w:p>
      <w:pPr>
        <w:pStyle w:val="Heading2"/>
        <w:spacing w:after="120" w:before="240"/>
      </w:pPr>
      <w:r>
        <w:rPr>
          <w:b/>
          <w:bCs/>
          <w:color w:val="2E74B5"/>
          <w:sz w:val="24"/>
          <w:szCs w:val="24"/>
        </w:rPr>
        <w:t xml:space="preserve">市场预期与证据</w:t>
      </w:r>
    </w:p>
    <w:p>
      <w:pPr>
        <w:pStyle w:val="ListParagraph"/>
        <w:numPr>
          <w:ilvl w:val="0"/>
          <w:numId w:val="2"/>
        </w:numPr>
        <w:spacing w:after="80" w:line="280"/>
      </w:pPr>
      <w:r>
        <w:rPr>
          <w:b/>
          <w:bCs/>
          <w:sz w:val="22"/>
          <w:szCs w:val="22"/>
        </w:rPr>
        <w:t xml:space="preserve">市场在定价</w:t>
      </w:r>
      <w:r>
        <w:rPr>
          <w:sz w:val="22"/>
          <w:szCs w:val="22"/>
        </w:rPr>
        <w:t xml:space="preserve">：32.55倍PE隐含未来每股收益年均增长约16.7%；机构预测EPS由2026年0.86元升至2028年1.46元，年复合约30%，市场隐含增速低于预测期增速，但要求盈利先从2026年低点恢复。</w:t>
      </w:r>
    </w:p>
    <w:p>
      <w:pPr>
        <w:pStyle w:val="ListParagraph"/>
        <w:numPr>
          <w:ilvl w:val="0"/>
          <w:numId w:val="2"/>
        </w:numPr>
        <w:spacing w:after="80" w:line="280"/>
      </w:pPr>
      <w:r>
        <w:rPr>
          <w:b/>
          <w:bCs/>
          <w:sz w:val="22"/>
          <w:szCs w:val="22"/>
        </w:rPr>
        <w:t xml:space="preserve">证据显示</w:t>
      </w:r>
      <w:r>
        <w:rPr>
          <w:sz w:val="22"/>
          <w:szCs w:val="22"/>
        </w:rPr>
        <w:t xml:space="preserve">：盈利恢复尚未被经营数据验证：2026H1归母净利润下降55.61%、毛利率24.82%；美国和波兰订单未披露利润率及交付节奏，收入确认与利润贡献仍待观察。</w:t>
      </w:r>
    </w:p>
    <w:p>
      <w:pPr>
        <w:spacing w:after="160" w:line="300"/>
      </w:pPr>
      <w:r>
        <w:rPr>
          <w:b/>
          <w:bCs/>
          <w:color w:val="1F4E79"/>
          <w:sz w:val="22"/>
          <w:szCs w:val="22"/>
        </w:rPr>
        <w:t xml:space="preserve">证据倾向：偏空；置信度：中</w:t>
      </w:r>
    </w:p>
    <w:p>
      <w:pPr>
        <w:spacing w:after="160" w:line="300"/>
      </w:pPr>
      <w:r>
        <w:rPr>
          <w:sz w:val="22"/>
          <w:szCs w:val="22"/>
        </w:rPr>
        <w:t xml:space="preserve">半年报盈利下滑与PE高分位证据明确；海外订单利润贡献和后续盈利恢复仍未验证。</w:t>
      </w:r>
    </w:p>
    <w:p>
      <w:pPr>
        <w:pStyle w:val="Heading1"/>
        <w:pBdr>
          <w:bottom w:val="single" w:color="1F4E79" w:sz="6" w:space="4"/>
        </w:pBdr>
        <w:spacing w:after="160" w:before="360"/>
      </w:pPr>
      <w:r>
        <w:rPr>
          <w:b/>
          <w:bCs/>
          <w:color w:val="1F4E79"/>
          <w:sz w:val="30"/>
          <w:szCs w:val="30"/>
        </w:rPr>
        <w:t xml:space="preserve">二、生意与竞争力</w:t>
      </w:r>
    </w:p>
    <w:p>
      <w:pPr>
        <w:pStyle w:val="Heading2"/>
        <w:spacing w:after="120" w:before="240"/>
      </w:pPr>
      <w:r>
        <w:rPr>
          <w:b/>
          <w:bCs/>
          <w:color w:val="2E74B5"/>
          <w:sz w:val="24"/>
          <w:szCs w:val="24"/>
        </w:rPr>
        <w:t xml:space="preserve">2.1 业务结构</w:t>
      </w:r>
    </w:p>
    <w:p>
      <w:pPr>
        <w:spacing w:after="160" w:line="300"/>
      </w:pPr>
      <w:r>
        <w:rPr>
          <w:sz w:val="22"/>
          <w:szCs w:val="22"/>
        </w:rPr>
        <w:t xml:space="preserve">向电网及电力客户销售智能电表、配电设备与解决方案，并通过医院运营和康复医疗服务患者及医保支付方。</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000"/>
        <w:gridCol w:w="1400"/>
        <w:gridCol w:w="1300"/>
        <w:gridCol w:w="1400"/>
        <w:gridCol w:w="3800"/>
      </w:tblGrid>
      <w:tr>
        <w:trPr>
          <w:tblHeader/>
        </w:trPr>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业务板块</w:t>
            </w:r>
          </w:p>
        </w:tc>
        <w:tc>
          <w:tcPr>
            <w:tcW w:type="dxa" w:w="1400"/>
            <w:shd w:fill="1F4E79" w:val="clear"/>
            <w:tcMar>
              <w:top w:type="dxa" w:w="80"/>
              <w:left w:type="dxa" w:w="100"/>
              <w:bottom w:type="dxa" w:w="80"/>
              <w:right w:type="dxa" w:w="100"/>
            </w:tcMar>
            <w:vAlign w:val="center"/>
          </w:tcPr>
          <w:p>
            <w:pPr>
              <w:jc w:val="center"/>
            </w:pPr>
            <w:r>
              <w:rPr>
                <w:b/>
                <w:bCs/>
                <w:color w:val="FFFFFF"/>
                <w:sz w:val="20"/>
                <w:szCs w:val="20"/>
              </w:rPr>
              <w:t xml:space="preserve">收入占比</w:t>
            </w:r>
          </w:p>
        </w:tc>
        <w:tc>
          <w:tcPr>
            <w:tcW w:type="dxa" w:w="13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1400"/>
            <w:shd w:fill="1F4E79" w:val="clear"/>
            <w:tcMar>
              <w:top w:type="dxa" w:w="80"/>
              <w:left w:type="dxa" w:w="100"/>
              <w:bottom w:type="dxa" w:w="80"/>
              <w:right w:type="dxa" w:w="100"/>
            </w:tcMar>
            <w:vAlign w:val="center"/>
          </w:tcPr>
          <w:p>
            <w:pPr>
              <w:jc w:val="center"/>
            </w:pPr>
            <w:r>
              <w:rPr>
                <w:b/>
                <w:bCs/>
                <w:color w:val="FFFFFF"/>
                <w:sz w:val="20"/>
                <w:szCs w:val="20"/>
              </w:rPr>
              <w:t xml:space="preserve">收入增速</w:t>
            </w:r>
          </w:p>
        </w:tc>
        <w:tc>
          <w:tcPr>
            <w:tcW w:type="dxa" w:w="3800"/>
            <w:shd w:fill="1F4E79" w:val="clear"/>
            <w:tcMar>
              <w:top w:type="dxa" w:w="80"/>
              <w:left w:type="dxa" w:w="100"/>
              <w:bottom w:type="dxa" w:w="80"/>
              <w:right w:type="dxa" w:w="100"/>
            </w:tcMar>
            <w:vAlign w:val="center"/>
          </w:tcPr>
          <w:p>
            <w:pPr>
              <w:jc w:val="center"/>
            </w:pPr>
            <w:r>
              <w:rPr>
                <w:b/>
                <w:bCs/>
                <w:color w:val="FFFFFF"/>
                <w:sz w:val="20"/>
                <w:szCs w:val="20"/>
              </w:rPr>
              <w:t xml:space="preserve">要点</w:t>
            </w:r>
          </w:p>
        </w:tc>
      </w:tr>
      <w:tr>
        <w:tc>
          <w:tcPr>
            <w:tcW w:type="dxa" w:w="2000"/>
            <w:tcMar>
              <w:top w:type="dxa" w:w="80"/>
              <w:left w:type="dxa" w:w="100"/>
              <w:bottom w:type="dxa" w:w="80"/>
              <w:right w:type="dxa" w:w="100"/>
            </w:tcMar>
            <w:vAlign w:val="center"/>
          </w:tcPr>
          <w:p>
            <w:pPr>
              <w:jc w:val="left"/>
            </w:pPr>
            <w:r>
              <w:rPr>
                <w:b w:val="false"/>
                <w:bCs w:val="false"/>
                <w:color w:val="000000"/>
                <w:sz w:val="20"/>
                <w:szCs w:val="20"/>
              </w:rPr>
              <w:t xml:space="preserve">智能配用电</w:t>
            </w:r>
          </w:p>
        </w:tc>
        <w:tc>
          <w:tcPr>
            <w:tcW w:type="dxa" w:w="1400"/>
            <w:tcMar>
              <w:top w:type="dxa" w:w="80"/>
              <w:left w:type="dxa" w:w="100"/>
              <w:bottom w:type="dxa" w:w="80"/>
              <w:right w:type="dxa" w:w="100"/>
            </w:tcMar>
            <w:vAlign w:val="center"/>
          </w:tcPr>
          <w:p>
            <w:pPr>
              <w:jc w:val="center"/>
            </w:pPr>
            <w:r>
              <w:rPr>
                <w:b w:val="false"/>
                <w:bCs w:val="false"/>
                <w:color w:val="000000"/>
                <w:sz w:val="20"/>
                <w:szCs w:val="20"/>
              </w:rPr>
              <w:t xml:space="preserve">约77.73%（2025年，按合并营收重算；年报分项合计与合并营收差约2.21亿元）</w:t>
            </w:r>
          </w:p>
        </w:tc>
        <w:tc>
          <w:tcPr>
            <w:tcW w:type="dxa" w:w="1300"/>
            <w:tcMar>
              <w:top w:type="dxa" w:w="80"/>
              <w:left w:type="dxa" w:w="100"/>
              <w:bottom w:type="dxa" w:w="80"/>
              <w:right w:type="dxa" w:w="100"/>
            </w:tcMar>
            <w:vAlign w:val="center"/>
          </w:tcPr>
          <w:p>
            <w:pPr>
              <w:jc w:val="center"/>
            </w:pPr>
            <w:r>
              <w:rPr>
                <w:b w:val="false"/>
                <w:bCs w:val="false"/>
                <w:color w:val="000000"/>
                <w:sz w:val="20"/>
                <w:szCs w:val="20"/>
              </w:rPr>
              <w:t xml:space="preserve">27.08%（2025年）</w:t>
            </w:r>
          </w:p>
        </w:tc>
        <w:tc>
          <w:tcPr>
            <w:tcW w:type="dxa" w:w="1400"/>
            <w:tcMar>
              <w:top w:type="dxa" w:w="80"/>
              <w:left w:type="dxa" w:w="100"/>
              <w:bottom w:type="dxa" w:w="80"/>
              <w:right w:type="dxa" w:w="100"/>
            </w:tcMar>
            <w:vAlign w:val="center"/>
          </w:tcPr>
          <w:p>
            <w:pPr>
              <w:jc w:val="center"/>
            </w:pPr>
            <w:r>
              <w:rPr>
                <w:b w:val="false"/>
                <w:bCs w:val="false"/>
                <w:color w:val="000000"/>
                <w:sz w:val="20"/>
                <w:szCs w:val="20"/>
              </w:rPr>
              <w:t xml:space="preserve">0.38%（2025年同比）</w:t>
            </w:r>
          </w:p>
        </w:tc>
        <w:tc>
          <w:tcPr>
            <w:tcW w:type="dxa" w:w="3800"/>
            <w:tcMar>
              <w:top w:type="dxa" w:w="80"/>
              <w:left w:type="dxa" w:w="100"/>
              <w:bottom w:type="dxa" w:w="80"/>
              <w:right w:type="dxa" w:w="100"/>
            </w:tcMar>
            <w:vAlign w:val="center"/>
          </w:tcPr>
          <w:p>
            <w:pPr>
              <w:jc w:val="center"/>
            </w:pPr>
            <w:r>
              <w:rPr>
                <w:b w:val="false"/>
                <w:bCs w:val="false"/>
                <w:color w:val="000000"/>
                <w:sz w:val="20"/>
                <w:szCs w:val="20"/>
              </w:rPr>
              <w:t xml:space="preserve">电网招标价格波动，成本增长12.28%</w:t>
            </w:r>
          </w:p>
        </w:tc>
      </w:tr>
      <w:tr>
        <w:tc>
          <w:tcPr>
            <w:tcW w:type="dxa" w:w="2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医疗服务</w:t>
            </w:r>
          </w:p>
        </w:tc>
        <w:tc>
          <w:tcPr>
            <w:tcW w:type="dxa" w:w="1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约20.72%（2025年，按合并营收重算；年报分项合计与合并营收差约2.21亿元）</w:t>
            </w:r>
          </w:p>
        </w:tc>
        <w:tc>
          <w:tcPr>
            <w:tcW w:type="dxa" w:w="13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28.84%（2025年）</w:t>
            </w:r>
          </w:p>
        </w:tc>
        <w:tc>
          <w:tcPr>
            <w:tcW w:type="dxa" w:w="1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-8.67%（2025年同比）</w:t>
            </w:r>
          </w:p>
        </w:tc>
        <w:tc>
          <w:tcPr>
            <w:tcW w:type="dxa" w:w="3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医院运营和康复医疗，受医保政策影响</w:t>
            </w:r>
          </w:p>
        </w:tc>
      </w:tr>
      <w:tr>
        <w:tc>
          <w:tcPr>
            <w:tcW w:type="dxa" w:w="2000"/>
            <w:tcMar>
              <w:top w:type="dxa" w:w="80"/>
              <w:left w:type="dxa" w:w="100"/>
              <w:bottom w:type="dxa" w:w="80"/>
              <w:right w:type="dxa" w:w="100"/>
            </w:tcMar>
            <w:vAlign w:val="center"/>
          </w:tcPr>
          <w:p>
            <w:pPr>
              <w:jc w:val="left"/>
            </w:pPr>
            <w:r>
              <w:rPr>
                <w:b w:val="false"/>
                <w:bCs w:val="false"/>
                <w:color w:val="000000"/>
                <w:sz w:val="20"/>
                <w:szCs w:val="20"/>
              </w:rPr>
              <w:t xml:space="preserve">其他主营业务</w:t>
            </w:r>
          </w:p>
        </w:tc>
        <w:tc>
          <w:tcPr>
            <w:tcW w:type="dxa" w:w="1400"/>
            <w:tcMar>
              <w:top w:type="dxa" w:w="80"/>
              <w:left w:type="dxa" w:w="100"/>
              <w:bottom w:type="dxa" w:w="80"/>
              <w:right w:type="dxa" w:w="100"/>
            </w:tcMar>
            <w:vAlign w:val="center"/>
          </w:tcPr>
          <w:p>
            <w:pPr>
              <w:jc w:val="center"/>
            </w:pPr>
            <w:r>
              <w:rPr>
                <w:b w:val="false"/>
                <w:bCs w:val="false"/>
                <w:color w:val="000000"/>
                <w:sz w:val="20"/>
                <w:szCs w:val="20"/>
              </w:rPr>
              <w:t xml:space="preserve">约0.01%（2025年，按合并营收计算）</w:t>
            </w:r>
          </w:p>
        </w:tc>
        <w:tc>
          <w:tcPr>
            <w:tcW w:type="dxa" w:w="1300"/>
            <w:tcMar>
              <w:top w:type="dxa" w:w="80"/>
              <w:left w:type="dxa" w:w="100"/>
              <w:bottom w:type="dxa" w:w="80"/>
              <w:right w:type="dxa" w:w="100"/>
            </w:tcMar>
            <w:vAlign w:val="center"/>
          </w:tcPr>
          <w:p>
            <w:pPr>
              <w:jc w:val="center"/>
            </w:pPr>
            <w:r>
              <w:rPr>
                <w:b w:val="false"/>
                <w:bCs w:val="false"/>
                <w:color w:val="000000"/>
                <w:sz w:val="20"/>
                <w:szCs w:val="20"/>
              </w:rPr>
              <w:t xml:space="preserve">—</w:t>
            </w:r>
          </w:p>
        </w:tc>
        <w:tc>
          <w:tcPr>
            <w:tcW w:type="dxa" w:w="1400"/>
            <w:tcMar>
              <w:top w:type="dxa" w:w="80"/>
              <w:left w:type="dxa" w:w="100"/>
              <w:bottom w:type="dxa" w:w="80"/>
              <w:right w:type="dxa" w:w="100"/>
            </w:tcMar>
            <w:vAlign w:val="center"/>
          </w:tcPr>
          <w:p>
            <w:pPr>
              <w:jc w:val="center"/>
            </w:pPr>
            <w:r>
              <w:rPr>
                <w:b w:val="false"/>
                <w:bCs w:val="false"/>
                <w:color w:val="000000"/>
                <w:sz w:val="20"/>
                <w:szCs w:val="20"/>
              </w:rPr>
              <w:t xml:space="preserve">—</w:t>
            </w:r>
          </w:p>
        </w:tc>
        <w:tc>
          <w:tcPr>
            <w:tcW w:type="dxa" w:w="3800"/>
            <w:tcMar>
              <w:top w:type="dxa" w:w="80"/>
              <w:left w:type="dxa" w:w="100"/>
              <w:bottom w:type="dxa" w:w="80"/>
              <w:right w:type="dxa" w:w="100"/>
            </w:tcMar>
            <w:vAlign w:val="center"/>
          </w:tcPr>
          <w:p>
            <w:pPr>
              <w:jc w:val="center"/>
            </w:pPr>
            <w:r>
              <w:rPr>
                <w:b w:val="false"/>
                <w:bCs w:val="false"/>
                <w:color w:val="000000"/>
                <w:sz w:val="20"/>
                <w:szCs w:val="20"/>
              </w:rPr>
              <w:t xml:space="preserve">年报披露收入约139万元</w:t>
            </w:r>
          </w:p>
        </w:tc>
      </w:tr>
    </w:tbl>
    <w:p>
      <w:pPr>
        <w:spacing w:before="200"/>
      </w:pPr>
    </w:p>
    <w:p>
      <w:pPr>
        <w:pStyle w:val="Heading2"/>
        <w:spacing w:after="120" w:before="240"/>
      </w:pPr>
      <w:r>
        <w:rPr>
          <w:b/>
          <w:bCs/>
          <w:color w:val="2E74B5"/>
          <w:sz w:val="24"/>
          <w:szCs w:val="24"/>
        </w:rPr>
        <w:t xml:space="preserve">2.2 竞争优势</w:t>
      </w:r>
    </w:p>
    <w:p>
      <w:pPr>
        <w:spacing w:after="160" w:line="300"/>
      </w:pPr>
      <w:r>
        <w:rPr>
          <w:b/>
          <w:bCs/>
          <w:color w:val="1F4E79"/>
          <w:sz w:val="22"/>
          <w:szCs w:val="22"/>
        </w:rPr>
        <w:t xml:space="preserve">竞争优势强度：中</w:t>
      </w:r>
    </w:p>
    <w:p>
      <w:pPr>
        <w:pStyle w:val="ListParagraph"/>
        <w:numPr>
          <w:ilvl w:val="0"/>
          <w:numId w:val="2"/>
        </w:numPr>
        <w:spacing w:after="80" w:line="280"/>
      </w:pPr>
      <w:r>
        <w:rPr>
          <w:sz w:val="22"/>
          <w:szCs w:val="22"/>
        </w:rPr>
        <w:t xml:space="preserve">客户准入与渠道：2025年披露全球10个生产基地、40余个销售中心，海外多国取得配电首单。</w:t>
      </w:r>
    </w:p>
    <w:p>
      <w:pPr>
        <w:pStyle w:val="ListParagraph"/>
        <w:numPr>
          <w:ilvl w:val="0"/>
          <w:numId w:val="2"/>
        </w:numPr>
        <w:spacing w:after="80" w:line="280"/>
      </w:pPr>
      <w:r>
        <w:rPr>
          <w:sz w:val="22"/>
          <w:szCs w:val="22"/>
        </w:rPr>
        <w:t xml:space="preserve">制造与技术：具备35kV及以下配电产品覆盖能力；披露自动化投入超2亿元、近三年相关专利32项。</w:t>
      </w:r>
    </w:p>
    <w:p>
      <w:pPr>
        <w:pStyle w:val="ListParagraph"/>
        <w:numPr>
          <w:ilvl w:val="0"/>
          <w:numId w:val="2"/>
        </w:numPr>
        <w:spacing w:after="80" w:line="280"/>
      </w:pPr>
      <w:r>
        <w:rPr>
          <w:sz w:val="22"/>
          <w:szCs w:val="22"/>
        </w:rPr>
        <w:t xml:space="preserve">医疗运营：旗下38家医院、32家康复医院、床位超万张，并建立医院拓展与运营标准化模块。</w:t>
      </w:r>
    </w:p>
    <w:p>
      <w:pPr>
        <w:spacing w:after="160" w:line="300"/>
      </w:pPr>
      <w:r>
        <w:rPr>
          <w:sz w:val="22"/>
          <w:szCs w:val="22"/>
        </w:rPr>
        <w:t xml:space="preserve">主要威胁：电网招标竞价及材料成本挤压配用电毛利；海外首单尚不代表稳定规模收入，医疗业务受医保支付、运营成本及单院爬坡影响。</w:t>
      </w:r>
    </w:p>
    <w:p>
      <w:pPr>
        <w:pStyle w:val="Heading2"/>
        <w:spacing w:after="120" w:before="240"/>
      </w:pPr>
      <w:r>
        <w:rPr>
          <w:b/>
          <w:bCs/>
          <w:color w:val="2E74B5"/>
          <w:sz w:val="24"/>
          <w:szCs w:val="24"/>
        </w:rPr>
        <w:t xml:space="preserve">2.3 产业链位置与盈利趋势</w:t>
      </w:r>
    </w:p>
    <w:p>
      <w:pPr>
        <w:pStyle w:val="ListParagraph"/>
        <w:numPr>
          <w:ilvl w:val="0"/>
          <w:numId w:val="2"/>
        </w:numPr>
        <w:spacing w:after="80" w:line="280"/>
      </w:pPr>
      <w:r>
        <w:rPr>
          <w:sz w:val="22"/>
          <w:szCs w:val="22"/>
        </w:rPr>
        <w:t xml:space="preserve">配用电制造涉及断路器、铜线、硅钢片及变压器零部件；监管回复列示为典型采购品类，非2025年采购结构。</w:t>
      </w:r>
    </w:p>
    <w:p>
      <w:pPr>
        <w:pStyle w:val="ListParagraph"/>
        <w:numPr>
          <w:ilvl w:val="0"/>
          <w:numId w:val="2"/>
        </w:numPr>
        <w:spacing w:after="80" w:line="280"/>
      </w:pPr>
      <w:r>
        <w:rPr>
          <w:sz w:val="22"/>
          <w:szCs w:val="22"/>
        </w:rPr>
        <w:t xml:space="preserve">2025年电工仪表直接材料占该业务主营成本约90.17%；铜线、硅钢等按市场价格采购，成本端议价空间有限。</w:t>
      </w:r>
    </w:p>
    <w:p>
      <w:pPr>
        <w:pStyle w:val="ListParagraph"/>
        <w:numPr>
          <w:ilvl w:val="0"/>
          <w:numId w:val="2"/>
        </w:numPr>
        <w:spacing w:after="80" w:line="280"/>
      </w:pPr>
      <w:r>
        <w:rPr>
          <w:sz w:val="22"/>
          <w:szCs w:val="22"/>
        </w:rPr>
        <w:t xml:space="preserve">配用电客户包括电网及其他电力客户，招标竞价、验收和结算流程限制供应商定价权。</w:t>
      </w:r>
    </w:p>
    <w:p>
      <w:pPr>
        <w:pStyle w:val="ListParagraph"/>
        <w:numPr>
          <w:ilvl w:val="0"/>
          <w:numId w:val="2"/>
        </w:numPr>
        <w:spacing w:after="80" w:line="280"/>
      </w:pPr>
      <w:r>
        <w:rPr>
          <w:sz w:val="22"/>
          <w:szCs w:val="22"/>
        </w:rPr>
        <w:t xml:space="preserve">医疗服务面向患者及医保等支付方，医保支付政策与服务价格影响收入、回款和毛利率。</w:t>
      </w:r>
    </w:p>
    <w:p>
      <w:pPr>
        <w:pStyle w:val="ListParagraph"/>
        <w:numPr>
          <w:ilvl w:val="0"/>
          <w:numId w:val="2"/>
        </w:numPr>
        <w:spacing w:after="80" w:line="280"/>
      </w:pPr>
      <w:r>
        <w:rPr>
          <w:sz w:val="22"/>
          <w:szCs w:val="22"/>
        </w:rPr>
        <w:t xml:space="preserve">2025年年报：前五大客户销售占比10.91%，前五大供应商采购占比13.21%；公司未披露客户名称，比例反映总体集中度，不代表无结构性依赖。</w:t>
      </w:r>
    </w:p>
    <w:p>
      <w:pPr>
        <w:pStyle w:val="ListParagraph"/>
        <w:numPr>
          <w:ilvl w:val="0"/>
          <w:numId w:val="2"/>
        </w:numPr>
        <w:spacing w:after="80" w:line="280"/>
      </w:pPr>
      <w:r>
        <w:rPr>
          <w:sz w:val="22"/>
          <w:szCs w:val="22"/>
        </w:rPr>
        <w:t xml:space="preserve">2025年末应收账款原值32.40亿元，约为营收22.6%、归母净利润2.54倍；经营现金流净额17.71亿元，为归母净利润1.39倍。</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1800"/>
        <w:gridCol w:w="1800"/>
        <w:gridCol w:w="48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800"/>
            <w:shd w:fill="1F4E79" w:val="clear"/>
            <w:tcMar>
              <w:top w:type="dxa" w:w="80"/>
              <w:left w:type="dxa" w:w="100"/>
              <w:bottom w:type="dxa" w:w="80"/>
              <w:right w:type="dxa" w:w="100"/>
            </w:tcMar>
            <w:vAlign w:val="center"/>
          </w:tcPr>
          <w:p>
            <w:pPr>
              <w:jc w:val="center"/>
            </w:pPr>
            <w:r>
              <w:rPr>
                <w:b/>
                <w:bCs/>
                <w:color w:val="FFFFFF"/>
                <w:sz w:val="20"/>
                <w:szCs w:val="20"/>
              </w:rPr>
              <w:t xml:space="preserve">变动原因</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2021</w:t>
            </w:r>
          </w:p>
        </w:tc>
        <w:tc>
          <w:tcPr>
            <w:tcW w:type="dxa" w:w="1800"/>
            <w:tcMar>
              <w:top w:type="dxa" w:w="80"/>
              <w:left w:type="dxa" w:w="100"/>
              <w:bottom w:type="dxa" w:w="80"/>
              <w:right w:type="dxa" w:w="100"/>
            </w:tcMar>
            <w:vAlign w:val="center"/>
          </w:tcPr>
          <w:p>
            <w:pPr>
              <w:jc w:val="center"/>
            </w:pPr>
            <w:r>
              <w:rPr>
                <w:b w:val="false"/>
                <w:bCs w:val="false"/>
                <w:color w:val="000000"/>
                <w:sz w:val="20"/>
                <w:szCs w:val="20"/>
              </w:rPr>
              <w:t xml:space="preserve">25.37%</w:t>
            </w:r>
          </w:p>
        </w:tc>
        <w:tc>
          <w:tcPr>
            <w:tcW w:type="dxa" w:w="1800"/>
            <w:tcMar>
              <w:top w:type="dxa" w:w="80"/>
              <w:left w:type="dxa" w:w="100"/>
              <w:bottom w:type="dxa" w:w="80"/>
              <w:right w:type="dxa" w:w="100"/>
            </w:tcMar>
            <w:vAlign w:val="center"/>
          </w:tcPr>
          <w:p>
            <w:pPr>
              <w:jc w:val="center"/>
            </w:pPr>
            <w:r>
              <w:rPr>
                <w:b w:val="false"/>
                <w:bCs w:val="false"/>
                <w:color w:val="000000"/>
                <w:sz w:val="20"/>
                <w:szCs w:val="20"/>
              </w:rPr>
              <w:t xml:space="preserve">9.83%（归母口径）</w:t>
            </w:r>
          </w:p>
        </w:tc>
        <w:tc>
          <w:tcPr>
            <w:tcW w:type="dxa" w:w="4800"/>
            <w:tcMar>
              <w:top w:type="dxa" w:w="80"/>
              <w:left w:type="dxa" w:w="100"/>
              <w:bottom w:type="dxa" w:w="80"/>
              <w:right w:type="dxa" w:w="100"/>
            </w:tcMar>
            <w:vAlign w:val="center"/>
          </w:tcPr>
          <w:p>
            <w:pPr>
              <w:jc w:val="center"/>
            </w:pPr>
            <w:r>
              <w:rPr>
                <w:b w:val="false"/>
                <w:bCs w:val="false"/>
                <w:color w:val="000000"/>
                <w:sz w:val="20"/>
                <w:szCs w:val="20"/>
              </w:rPr>
              <w:t xml:space="preserve">年报未提供逐年量化归因</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2022</w:t>
            </w:r>
          </w:p>
        </w:tc>
        <w:tc>
          <w:tcPr>
            <w:tcW w:type="dxa" w:w="1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28.88%</w:t>
            </w:r>
          </w:p>
        </w:tc>
        <w:tc>
          <w:tcPr>
            <w:tcW w:type="dxa" w:w="1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10.42%（归母口径）</w:t>
            </w:r>
          </w:p>
        </w:tc>
        <w:tc>
          <w:tcPr>
            <w:tcW w:type="dxa" w:w="4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配用电与医疗业务规模增长，扩院投入影响利润表现</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2023</w:t>
            </w:r>
          </w:p>
        </w:tc>
        <w:tc>
          <w:tcPr>
            <w:tcW w:type="dxa" w:w="1800"/>
            <w:tcMar>
              <w:top w:type="dxa" w:w="80"/>
              <w:left w:type="dxa" w:w="100"/>
              <w:bottom w:type="dxa" w:w="80"/>
              <w:right w:type="dxa" w:w="100"/>
            </w:tcMar>
            <w:vAlign w:val="center"/>
          </w:tcPr>
          <w:p>
            <w:pPr>
              <w:jc w:val="center"/>
            </w:pPr>
            <w:r>
              <w:rPr>
                <w:b w:val="false"/>
                <w:bCs w:val="false"/>
                <w:color w:val="000000"/>
                <w:sz w:val="20"/>
                <w:szCs w:val="20"/>
              </w:rPr>
              <w:t xml:space="preserve">33.99%</w:t>
            </w:r>
          </w:p>
        </w:tc>
        <w:tc>
          <w:tcPr>
            <w:tcW w:type="dxa" w:w="1800"/>
            <w:tcMar>
              <w:top w:type="dxa" w:w="80"/>
              <w:left w:type="dxa" w:w="100"/>
              <w:bottom w:type="dxa" w:w="80"/>
              <w:right w:type="dxa" w:w="100"/>
            </w:tcMar>
            <w:vAlign w:val="center"/>
          </w:tcPr>
          <w:p>
            <w:pPr>
              <w:jc w:val="center"/>
            </w:pPr>
            <w:r>
              <w:rPr>
                <w:b w:val="false"/>
                <w:bCs w:val="false"/>
                <w:color w:val="000000"/>
                <w:sz w:val="20"/>
                <w:szCs w:val="20"/>
              </w:rPr>
              <w:t xml:space="preserve">16.61%（归母口径）</w:t>
            </w:r>
          </w:p>
        </w:tc>
        <w:tc>
          <w:tcPr>
            <w:tcW w:type="dxa" w:w="4800"/>
            <w:tcMar>
              <w:top w:type="dxa" w:w="80"/>
              <w:left w:type="dxa" w:w="100"/>
              <w:bottom w:type="dxa" w:w="80"/>
              <w:right w:type="dxa" w:w="100"/>
            </w:tcMar>
            <w:vAlign w:val="center"/>
          </w:tcPr>
          <w:p>
            <w:pPr>
              <w:jc w:val="center"/>
            </w:pPr>
            <w:r>
              <w:rPr>
                <w:b w:val="false"/>
                <w:bCs w:val="false"/>
                <w:color w:val="000000"/>
                <w:sz w:val="20"/>
                <w:szCs w:val="20"/>
              </w:rPr>
              <w:t xml:space="preserve">两项业务增长，经营规模扩大</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w:t>
            </w:r>
          </w:p>
        </w:tc>
        <w:tc>
          <w:tcPr>
            <w:tcW w:type="dxa" w:w="1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34.72%</w:t>
            </w:r>
          </w:p>
        </w:tc>
        <w:tc>
          <w:tcPr>
            <w:tcW w:type="dxa" w:w="1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15.48%（归母口径）</w:t>
            </w:r>
          </w:p>
        </w:tc>
        <w:tc>
          <w:tcPr>
            <w:tcW w:type="dxa" w:w="4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技术创新与内部降本增效</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w:t>
            </w:r>
          </w:p>
        </w:tc>
        <w:tc>
          <w:tcPr>
            <w:tcW w:type="dxa" w:w="1800"/>
            <w:tcMar>
              <w:top w:type="dxa" w:w="80"/>
              <w:left w:type="dxa" w:w="100"/>
              <w:bottom w:type="dxa" w:w="80"/>
              <w:right w:type="dxa" w:w="100"/>
            </w:tcMar>
            <w:vAlign w:val="center"/>
          </w:tcPr>
          <w:p>
            <w:pPr>
              <w:jc w:val="center"/>
            </w:pPr>
            <w:r>
              <w:rPr>
                <w:b w:val="false"/>
                <w:bCs w:val="false"/>
                <w:color w:val="000000"/>
                <w:sz w:val="20"/>
                <w:szCs w:val="20"/>
              </w:rPr>
              <w:t xml:space="preserve">27.96%</w:t>
            </w:r>
          </w:p>
        </w:tc>
        <w:tc>
          <w:tcPr>
            <w:tcW w:type="dxa" w:w="1800"/>
            <w:tcMar>
              <w:top w:type="dxa" w:w="80"/>
              <w:left w:type="dxa" w:w="100"/>
              <w:bottom w:type="dxa" w:w="80"/>
              <w:right w:type="dxa" w:w="100"/>
            </w:tcMar>
            <w:vAlign w:val="center"/>
          </w:tcPr>
          <w:p>
            <w:pPr>
              <w:jc w:val="center"/>
            </w:pPr>
            <w:r>
              <w:rPr>
                <w:b w:val="false"/>
                <w:bCs w:val="false"/>
                <w:color w:val="000000"/>
                <w:sz w:val="20"/>
                <w:szCs w:val="20"/>
              </w:rPr>
              <w:t xml:space="preserve">8.87%（归母口径）</w:t>
            </w:r>
          </w:p>
        </w:tc>
        <w:tc>
          <w:tcPr>
            <w:tcW w:type="dxa" w:w="4800"/>
            <w:tcMar>
              <w:top w:type="dxa" w:w="80"/>
              <w:left w:type="dxa" w:w="100"/>
              <w:bottom w:type="dxa" w:w="80"/>
              <w:right w:type="dxa" w:w="100"/>
            </w:tcMar>
            <w:vAlign w:val="center"/>
          </w:tcPr>
          <w:p>
            <w:pPr>
              <w:jc w:val="center"/>
            </w:pPr>
            <w:r>
              <w:rPr>
                <w:b w:val="false"/>
                <w:bCs w:val="false"/>
                <w:color w:val="000000"/>
                <w:sz w:val="20"/>
                <w:szCs w:val="20"/>
              </w:rPr>
              <w:t xml:space="preserve">招标价格波动、医疗受医保政策影响</w:t>
            </w:r>
          </w:p>
        </w:tc>
      </w:tr>
    </w:tbl>
    <w:p>
      <w:pPr>
        <w:spacing w:before="200"/>
      </w:pPr>
    </w:p>
    <w:p>
      <w:pPr>
        <w:spacing w:after="160" w:line="300"/>
      </w:pPr>
      <w:r>
        <w:rPr>
          <w:sz w:val="22"/>
          <w:szCs w:val="22"/>
        </w:rPr>
        <w:t xml:space="preserve">配用电处于中游设备制造与系统交付，医疗服务位于终端服务端；2025年两项业务毛利率均下滑。利润率改善取决于招标价格企稳、产品结构升级、海外成熟市场放量及医院运营效率提升。</w:t>
      </w:r>
    </w:p>
    <w:p>
      <w:pPr>
        <w:pStyle w:val="Heading2"/>
        <w:spacing w:after="120" w:before="240"/>
      </w:pPr>
      <w:r>
        <w:rPr>
          <w:b/>
          <w:bCs/>
          <w:color w:val="2E74B5"/>
          <w:sz w:val="24"/>
          <w:szCs w:val="24"/>
        </w:rPr>
        <w:t xml:space="preserve">2.4 行业与同行对比</w:t>
      </w:r>
    </w:p>
    <w:p>
      <w:pPr>
        <w:spacing w:after="160" w:line="300"/>
      </w:pPr>
      <w:r>
        <w:rPr>
          <w:sz w:val="22"/>
          <w:szCs w:val="22"/>
        </w:rPr>
        <w:t xml:space="preserve">公司利润受电网招标价格与直接材料成本影响，2025年配用电收入基本持平但毛利率下滑；医疗服务收入和毛利率亦下降，医保支付与运营效率是关键变量。</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100"/>
        <w:gridCol w:w="2300"/>
        <w:gridCol w:w="2600"/>
        <w:gridCol w:w="2900"/>
      </w:tblGrid>
      <w:tr>
        <w:trPr>
          <w:tblHeader/>
        </w:trPr>
        <w:tc>
          <w:tcPr>
            <w:tcW w:type="dxa" w:w="21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3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可比数据</w:t>
            </w:r>
          </w:p>
        </w:tc>
        <w:tc>
          <w:tcPr>
            <w:tcW w:type="dxa" w:w="2900"/>
            <w:shd w:fill="1F4E79" w:val="clear"/>
            <w:tcMar>
              <w:top w:type="dxa" w:w="80"/>
              <w:left w:type="dxa" w:w="100"/>
              <w:bottom w:type="dxa" w:w="80"/>
              <w:right w:type="dxa" w:w="100"/>
            </w:tcMar>
            <w:vAlign w:val="center"/>
          </w:tcPr>
          <w:p>
            <w:pPr>
              <w:jc w:val="center"/>
            </w:pPr>
            <w:r>
              <w:rPr>
                <w:b/>
                <w:bCs/>
                <w:color w:val="FFFFFF"/>
                <w:sz w:val="20"/>
                <w:szCs w:val="20"/>
              </w:rPr>
              <w:t xml:space="preserve">与本公司差异</w:t>
            </w:r>
          </w:p>
        </w:tc>
      </w:tr>
      <w:tr>
        <w:tc>
          <w:tcPr>
            <w:tcW w:type="dxa" w:w="2100"/>
            <w:tcMar>
              <w:top w:type="dxa" w:w="80"/>
              <w:left w:type="dxa" w:w="100"/>
              <w:bottom w:type="dxa" w:w="80"/>
              <w:right w:type="dxa" w:w="100"/>
            </w:tcMar>
            <w:vAlign w:val="center"/>
          </w:tcPr>
          <w:p>
            <w:pPr>
              <w:jc w:val="left"/>
            </w:pPr>
            <w:r>
              <w:rPr>
                <w:b w:val="false"/>
                <w:bCs w:val="false"/>
                <w:color w:val="000000"/>
                <w:sz w:val="20"/>
                <w:szCs w:val="20"/>
              </w:rPr>
              <w:t xml:space="preserve">海兴电力（603556）</w:t>
            </w:r>
          </w:p>
        </w:tc>
        <w:tc>
          <w:tcPr>
            <w:tcW w:type="dxa" w:w="2300"/>
            <w:tcMar>
              <w:top w:type="dxa" w:w="80"/>
              <w:left w:type="dxa" w:w="100"/>
              <w:bottom w:type="dxa" w:w="80"/>
              <w:right w:type="dxa" w:w="100"/>
            </w:tcMar>
            <w:vAlign w:val="center"/>
          </w:tcPr>
          <w:p>
            <w:pPr>
              <w:jc w:val="center"/>
            </w:pPr>
            <w:r>
              <w:rPr>
                <w:b w:val="false"/>
                <w:bCs w:val="false"/>
                <w:color w:val="000000"/>
                <w:sz w:val="20"/>
                <w:szCs w:val="20"/>
              </w:rPr>
              <w:t xml:space="preserve">智能电网及海外业务</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2025年营收47.69亿元；智能电网毛利率42.32%；PE-TTM 16.31倍（2026-09-30）</w:t>
            </w:r>
          </w:p>
        </w:tc>
        <w:tc>
          <w:tcPr>
            <w:tcW w:type="dxa" w:w="2900"/>
            <w:tcMar>
              <w:top w:type="dxa" w:w="80"/>
              <w:left w:type="dxa" w:w="100"/>
              <w:bottom w:type="dxa" w:w="80"/>
              <w:right w:type="dxa" w:w="100"/>
            </w:tcMar>
            <w:vAlign w:val="center"/>
          </w:tcPr>
          <w:p>
            <w:pPr>
              <w:jc w:val="center"/>
            </w:pPr>
            <w:r>
              <w:rPr>
                <w:b w:val="false"/>
                <w:bCs w:val="false"/>
                <w:color w:val="000000"/>
                <w:sz w:val="20"/>
                <w:szCs w:val="20"/>
              </w:rPr>
              <w:t xml:space="preserve">智能电网及海外业务占比高，相关业务毛利率高于三星电气配用电。</w:t>
            </w:r>
          </w:p>
        </w:tc>
      </w:tr>
      <w:tr>
        <w:tc>
          <w:tcPr>
            <w:tcW w:type="dxa" w:w="21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林洋能源（601222）</w:t>
            </w:r>
          </w:p>
        </w:tc>
        <w:tc>
          <w:tcPr>
            <w:tcW w:type="dxa" w:w="23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智能配用电兼有光伏、储能</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2025年营收48.76亿元；智能配用电毛利率34.27%；PE约34.77或14.14倍</w:t>
            </w:r>
          </w:p>
        </w:tc>
        <w:tc>
          <w:tcPr>
            <w:tcW w:type="dxa" w:w="2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业务含光伏和储能；PE数据源差异显著，不宜作精确估值比较。</w:t>
            </w:r>
          </w:p>
        </w:tc>
      </w:tr>
      <w:tr>
        <w:tc>
          <w:tcPr>
            <w:tcW w:type="dxa" w:w="2100"/>
            <w:tcMar>
              <w:top w:type="dxa" w:w="80"/>
              <w:left w:type="dxa" w:w="100"/>
              <w:bottom w:type="dxa" w:w="80"/>
              <w:right w:type="dxa" w:w="100"/>
            </w:tcMar>
            <w:vAlign w:val="center"/>
          </w:tcPr>
          <w:p>
            <w:pPr>
              <w:jc w:val="left"/>
            </w:pPr>
            <w:r>
              <w:rPr>
                <w:b w:val="false"/>
                <w:bCs w:val="false"/>
                <w:color w:val="000000"/>
                <w:sz w:val="20"/>
                <w:szCs w:val="20"/>
              </w:rPr>
              <w:t xml:space="preserve">炬华科技（300360）</w:t>
            </w:r>
          </w:p>
        </w:tc>
        <w:tc>
          <w:tcPr>
            <w:tcW w:type="dxa" w:w="2300"/>
            <w:tcMar>
              <w:top w:type="dxa" w:w="80"/>
              <w:left w:type="dxa" w:w="100"/>
              <w:bottom w:type="dxa" w:w="80"/>
              <w:right w:type="dxa" w:w="100"/>
            </w:tcMar>
            <w:vAlign w:val="center"/>
          </w:tcPr>
          <w:p>
            <w:pPr>
              <w:jc w:val="center"/>
            </w:pPr>
            <w:r>
              <w:rPr>
                <w:b w:val="false"/>
                <w:bCs w:val="false"/>
                <w:color w:val="000000"/>
                <w:sz w:val="20"/>
                <w:szCs w:val="20"/>
              </w:rPr>
              <w:t xml:space="preserve">电工仪器仪表业务集中</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2025年营收16.87亿元；仪表业务毛利率42.90%；PE约14.10倍</w:t>
            </w:r>
          </w:p>
        </w:tc>
        <w:tc>
          <w:tcPr>
            <w:tcW w:type="dxa" w:w="2900"/>
            <w:tcMar>
              <w:top w:type="dxa" w:w="80"/>
              <w:left w:type="dxa" w:w="100"/>
              <w:bottom w:type="dxa" w:w="80"/>
              <w:right w:type="dxa" w:w="100"/>
            </w:tcMar>
            <w:vAlign w:val="center"/>
          </w:tcPr>
          <w:p>
            <w:pPr>
              <w:jc w:val="center"/>
            </w:pPr>
            <w:r>
              <w:rPr>
                <w:b w:val="false"/>
                <w:bCs w:val="false"/>
                <w:color w:val="000000"/>
                <w:sz w:val="20"/>
                <w:szCs w:val="20"/>
              </w:rPr>
              <w:t xml:space="preserve">规模较小、业务集中，不含可比的医疗服务业务。</w:t>
            </w:r>
          </w:p>
        </w:tc>
      </w:tr>
    </w:tbl>
    <w:p>
      <w:pPr>
        <w:spacing w:before="200"/>
      </w:pPr>
    </w:p>
    <w:p>
      <w:pPr>
        <w:spacing w:after="160" w:line="300"/>
      </w:pPr>
      <w:r>
        <w:rPr>
          <w:sz w:val="22"/>
          <w:szCs w:val="22"/>
        </w:rPr>
        <w:t xml:space="preserve">2025年三星电气智能配用电毛利率为27.08%，低于三家可比公司的相关业务披露值；但产品结构、海外占比和系统集成等差异较大，毛利率不能单独证明竞争地位。</w:t>
      </w:r>
    </w:p>
    <w:p>
      <w:pPr>
        <w:pStyle w:val="Heading1"/>
        <w:pBdr>
          <w:bottom w:val="single" w:color="1F4E79" w:sz="6" w:space="4"/>
        </w:pBdr>
        <w:spacing w:after="160" w:before="360"/>
      </w:pPr>
      <w:r>
        <w:rPr>
          <w:b/>
          <w:bCs/>
          <w:color w:val="1F4E79"/>
          <w:sz w:val="30"/>
          <w:szCs w:val="30"/>
        </w:rPr>
        <w:t xml:space="preserve">三、财务质量</w:t>
      </w:r>
    </w:p>
    <w:p>
      <w:pPr>
        <w:pStyle w:val="Heading2"/>
        <w:spacing w:after="120" w:before="240"/>
      </w:pPr>
      <w:r>
        <w:rPr>
          <w:b/>
          <w:bCs/>
          <w:color w:val="2E74B5"/>
          <w:sz w:val="24"/>
          <w:szCs w:val="24"/>
        </w:rPr>
        <w:t xml:space="preserve">3.1 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1600"/>
        <w:gridCol w:w="1100"/>
        <w:gridCol w:w="1600"/>
        <w:gridCol w:w="1100"/>
        <w:gridCol w:w="1400"/>
        <w:gridCol w:w="16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1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1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1400"/>
            <w:shd w:fill="1F4E79" w:val="clear"/>
            <w:tcMar>
              <w:top w:type="dxa" w:w="80"/>
              <w:left w:type="dxa" w:w="100"/>
              <w:bottom w:type="dxa" w:w="80"/>
              <w:right w:type="dxa" w:w="100"/>
            </w:tcMar>
            <w:vAlign w:val="center"/>
          </w:tcPr>
          <w:p>
            <w:pPr>
              <w:jc w:val="center"/>
            </w:pPr>
            <w:r>
              <w:rPr>
                <w:b/>
                <w:bCs/>
                <w:color w:val="FFFFFF"/>
                <w:sz w:val="20"/>
                <w:szCs w:val="20"/>
              </w:rPr>
              <w:t xml:space="preserve">扣非同比</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2026年上半年</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72.62亿元</w:t>
            </w:r>
          </w:p>
        </w:tc>
        <w:tc>
          <w:tcPr>
            <w:tcW w:type="dxa" w:w="1100"/>
            <w:tcMar>
              <w:top w:type="dxa" w:w="80"/>
              <w:left w:type="dxa" w:w="100"/>
              <w:bottom w:type="dxa" w:w="80"/>
              <w:right w:type="dxa" w:w="100"/>
            </w:tcMar>
            <w:vAlign w:val="center"/>
          </w:tcPr>
          <w:p>
            <w:pPr>
              <w:jc w:val="center"/>
            </w:pPr>
            <w:r>
              <w:rPr>
                <w:b w:val="false"/>
                <w:bCs w:val="false"/>
                <w:color w:val="000000"/>
                <w:sz w:val="20"/>
                <w:szCs w:val="20"/>
              </w:rPr>
              <w:t xml:space="preserve">-8.90%</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5.46亿元</w:t>
            </w:r>
          </w:p>
        </w:tc>
        <w:tc>
          <w:tcPr>
            <w:tcW w:type="dxa" w:w="1100"/>
            <w:tcMar>
              <w:top w:type="dxa" w:w="80"/>
              <w:left w:type="dxa" w:w="100"/>
              <w:bottom w:type="dxa" w:w="80"/>
              <w:right w:type="dxa" w:w="100"/>
            </w:tcMar>
            <w:vAlign w:val="center"/>
          </w:tcPr>
          <w:p>
            <w:pPr>
              <w:jc w:val="center"/>
            </w:pPr>
            <w:r>
              <w:rPr>
                <w:b w:val="false"/>
                <w:bCs w:val="false"/>
                <w:color w:val="000000"/>
                <w:sz w:val="20"/>
                <w:szCs w:val="20"/>
              </w:rPr>
              <w:t xml:space="preserve">-55.61%</w:t>
            </w:r>
          </w:p>
        </w:tc>
        <w:tc>
          <w:tcPr>
            <w:tcW w:type="dxa" w:w="1400"/>
            <w:tcMar>
              <w:top w:type="dxa" w:w="80"/>
              <w:left w:type="dxa" w:w="100"/>
              <w:bottom w:type="dxa" w:w="80"/>
              <w:right w:type="dxa" w:w="100"/>
            </w:tcMar>
            <w:vAlign w:val="center"/>
          </w:tcPr>
          <w:p>
            <w:pPr>
              <w:jc w:val="center"/>
            </w:pPr>
            <w:r>
              <w:rPr>
                <w:b w:val="false"/>
                <w:bCs w:val="false"/>
                <w:color w:val="000000"/>
                <w:sz w:val="20"/>
                <w:szCs w:val="20"/>
              </w:rPr>
              <w:t xml:space="preserve">-63.46%</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24.82%</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143.61亿元</w:t>
            </w:r>
          </w:p>
        </w:tc>
        <w:tc>
          <w:tcPr>
            <w:tcW w:type="dxa" w:w="11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-1.64%</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12.74亿元</w:t>
            </w:r>
          </w:p>
        </w:tc>
        <w:tc>
          <w:tcPr>
            <w:tcW w:type="dxa" w:w="11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-43.62%</w:t>
            </w:r>
          </w:p>
        </w:tc>
        <w:tc>
          <w:tcPr>
            <w:tcW w:type="dxa" w:w="1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-57.75%</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约27.96%</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146.00亿元</w:t>
            </w:r>
          </w:p>
        </w:tc>
        <w:tc>
          <w:tcPr>
            <w:tcW w:type="dxa" w:w="1100"/>
            <w:tcMar>
              <w:top w:type="dxa" w:w="80"/>
              <w:left w:type="dxa" w:w="100"/>
              <w:bottom w:type="dxa" w:w="80"/>
              <w:right w:type="dxa" w:w="100"/>
            </w:tcMar>
            <w:vAlign w:val="center"/>
          </w:tcPr>
          <w:p>
            <w:pPr>
              <w:jc w:val="center"/>
            </w:pPr>
            <w:r>
              <w:rPr>
                <w:b w:val="false"/>
                <w:bCs w:val="false"/>
                <w:color w:val="000000"/>
                <w:sz w:val="20"/>
                <w:szCs w:val="20"/>
              </w:rPr>
              <w:t xml:space="preserve">27.38%</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22.60亿元</w:t>
            </w:r>
          </w:p>
        </w:tc>
        <w:tc>
          <w:tcPr>
            <w:tcW w:type="dxa" w:w="1100"/>
            <w:tcMar>
              <w:top w:type="dxa" w:w="80"/>
              <w:left w:type="dxa" w:w="100"/>
              <w:bottom w:type="dxa" w:w="80"/>
              <w:right w:type="dxa" w:w="100"/>
            </w:tcMar>
            <w:vAlign w:val="center"/>
          </w:tcPr>
          <w:p>
            <w:pPr>
              <w:jc w:val="center"/>
            </w:pPr>
            <w:r>
              <w:rPr>
                <w:b w:val="false"/>
                <w:bCs w:val="false"/>
                <w:color w:val="000000"/>
                <w:sz w:val="20"/>
                <w:szCs w:val="20"/>
              </w:rPr>
              <w:t xml:space="preserve">18.69%</w:t>
            </w:r>
          </w:p>
        </w:tc>
        <w:tc>
          <w:tcPr>
            <w:tcW w:type="dxa" w:w="1400"/>
            <w:tcMar>
              <w:top w:type="dxa" w:w="80"/>
              <w:left w:type="dxa" w:w="100"/>
              <w:bottom w:type="dxa" w:w="80"/>
              <w:right w:type="dxa" w:w="100"/>
            </w:tcMar>
            <w:vAlign w:val="center"/>
          </w:tcPr>
          <w:p>
            <w:pPr>
              <w:jc w:val="center"/>
            </w:pPr>
            <w:r>
              <w:rPr>
                <w:b w:val="false"/>
                <w:bCs w:val="false"/>
                <w:color w:val="000000"/>
                <w:sz w:val="20"/>
                <w:szCs w:val="20"/>
              </w:rPr>
              <w:t xml:space="preserve">31.92%</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34.72%</w:t>
            </w:r>
          </w:p>
        </w:tc>
      </w:tr>
    </w:tbl>
    <w:p>
      <w:pPr>
        <w:spacing w:before="200"/>
      </w:pPr>
    </w:p>
    <w:p>
      <w:pPr>
        <w:spacing w:after="200"/>
      </w:pPr>
      <w:r>
        <w:rPr>
          <w:i/>
          <w:iCs/>
          <w:color w:val="595959"/>
          <w:sz w:val="18"/>
          <w:szCs w:val="18"/>
        </w:rPr>
        <w:t xml:space="preserve">合并报表口径；2026年上半年采用半年度报告实际数。</w:t>
      </w:r>
    </w:p>
    <w:p>
      <w:pPr>
        <w:spacing w:after="160" w:line="300"/>
      </w:pPr>
      <w:r>
        <w:rPr>
          <w:sz w:val="22"/>
          <w:szCs w:val="22"/>
        </w:rPr>
        <w:t xml:space="preserve">利润降幅显著大于收入降幅。低价招标交付、原材料及汇率因素压低毛利；2025年医疗相关商誉减值约3.56亿元。</w:t>
      </w:r>
    </w:p>
    <w:p>
      <w:pPr>
        <w:pStyle w:val="Heading2"/>
        <w:spacing w:after="120" w:before="240"/>
      </w:pPr>
      <w:r>
        <w:rPr>
          <w:b/>
          <w:bCs/>
          <w:color w:val="2E74B5"/>
          <w:sz w:val="24"/>
          <w:szCs w:val="24"/>
        </w:rPr>
        <w:t xml:space="preserve">3.2 财务健康检查</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400"/>
        <w:gridCol w:w="2000"/>
        <w:gridCol w:w="1100"/>
        <w:gridCol w:w="44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1100"/>
            <w:shd w:fill="1F4E79" w:val="clear"/>
            <w:tcMar>
              <w:top w:type="dxa" w:w="80"/>
              <w:left w:type="dxa" w:w="100"/>
              <w:bottom w:type="dxa" w:w="80"/>
              <w:right w:type="dxa" w:w="100"/>
            </w:tcMar>
            <w:vAlign w:val="center"/>
          </w:tcPr>
          <w:p>
            <w:pPr>
              <w:jc w:val="center"/>
            </w:pPr>
            <w:r>
              <w:rPr>
                <w:b/>
                <w:bCs/>
                <w:color w:val="FFFFFF"/>
                <w:sz w:val="20"/>
                <w:szCs w:val="20"/>
              </w:rPr>
              <w:t xml:space="preserve">判断</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加权平均ROE</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2025年10.59%；2026H1 4.69%</w:t>
            </w:r>
          </w:p>
        </w:tc>
        <w:tc>
          <w:tcPr>
            <w:tcW w:type="dxa" w:w="1100"/>
            <w:tcMar>
              <w:top w:type="dxa" w:w="80"/>
              <w:left w:type="dxa" w:w="100"/>
              <w:bottom w:type="dxa" w:w="80"/>
              <w:right w:type="dxa" w:w="100"/>
            </w:tcMar>
            <w:vAlign w:val="center"/>
          </w:tcPr>
          <w:p>
            <w:pPr>
              <w:jc w:val="center"/>
            </w:pPr>
            <w:r>
              <w:rPr>
                <w:b w:val="false"/>
                <w:bCs w:val="false"/>
                <w:color w:val="000000"/>
                <w:sz w:val="20"/>
                <w:szCs w:val="20"/>
              </w:rPr>
              <w:t xml:space="preserve">关注</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扣非ROE亦下行，盈利回报明显走弱</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资产负债率</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2026年6月末48.96%</w:t>
            </w:r>
          </w:p>
        </w:tc>
        <w:tc>
          <w:tcPr>
            <w:tcW w:type="dxa" w:w="11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一般</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较2025年末54.33%下降</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经营现金流/归母净利润</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2025年1.39倍；2026H1约0.26倍</w:t>
            </w:r>
          </w:p>
        </w:tc>
        <w:tc>
          <w:tcPr>
            <w:tcW w:type="dxa" w:w="1100"/>
            <w:tcMar>
              <w:top w:type="dxa" w:w="80"/>
              <w:left w:type="dxa" w:w="100"/>
              <w:bottom w:type="dxa" w:w="80"/>
              <w:right w:type="dxa" w:w="100"/>
            </w:tcMar>
            <w:vAlign w:val="center"/>
          </w:tcPr>
          <w:p>
            <w:pPr>
              <w:jc w:val="center"/>
            </w:pPr>
            <w:r>
              <w:rPr>
                <w:b w:val="false"/>
                <w:bCs w:val="false"/>
                <w:color w:val="000000"/>
                <w:sz w:val="20"/>
                <w:szCs w:val="20"/>
              </w:rPr>
              <w:t xml:space="preserve">关注</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半年经营现金流转正但利润现金覆盖偏弱</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商誉</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2026年6月末约12.04亿元</w:t>
            </w:r>
          </w:p>
        </w:tc>
        <w:tc>
          <w:tcPr>
            <w:tcW w:type="dxa" w:w="11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关注</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2025年已计提约3.56亿元减值，医疗业务仍需观察</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应收账款周转率</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w:t>
            </w:r>
          </w:p>
        </w:tc>
        <w:tc>
          <w:tcPr>
            <w:tcW w:type="dxa" w:w="1100"/>
            <w:tcMar>
              <w:top w:type="dxa" w:w="80"/>
              <w:left w:type="dxa" w:w="100"/>
              <w:bottom w:type="dxa" w:w="80"/>
              <w:right w:type="dxa" w:w="100"/>
            </w:tcMar>
            <w:vAlign w:val="center"/>
          </w:tcPr>
          <w:p>
            <w:pPr>
              <w:jc w:val="center"/>
            </w:pPr>
            <w:r>
              <w:rPr>
                <w:b w:val="false"/>
                <w:bCs w:val="false"/>
                <w:color w:val="000000"/>
                <w:sz w:val="20"/>
                <w:szCs w:val="20"/>
              </w:rPr>
              <w:t xml:space="preserve">关注</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正式报告口径未取得可核对数据</w:t>
            </w:r>
          </w:p>
        </w:tc>
      </w:tr>
    </w:tbl>
    <w:p>
      <w:pPr>
        <w:spacing w:before="200"/>
      </w:pPr>
    </w:p>
    <w:p>
      <w:pPr>
        <w:pStyle w:val="Heading1"/>
        <w:pBdr>
          <w:bottom w:val="single" w:color="1F4E79" w:sz="6" w:space="4"/>
        </w:pBdr>
        <w:spacing w:after="160" w:before="360"/>
      </w:pPr>
      <w:r>
        <w:rPr>
          <w:b/>
          <w:bCs/>
          <w:color w:val="1F4E79"/>
          <w:sz w:val="30"/>
          <w:szCs w:val="30"/>
        </w:rPr>
        <w:t xml:space="preserve">四、估值与市场预期</w:t>
      </w:r>
    </w:p>
    <w:p>
      <w:pPr>
        <w:pStyle w:val="Heading2"/>
        <w:spacing w:after="120" w:before="240"/>
      </w:pPr>
      <w:r>
        <w:rPr>
          <w:b/>
          <w:bCs/>
          <w:color w:val="2E74B5"/>
          <w:sz w:val="24"/>
          <w:szCs w:val="24"/>
        </w:rPr>
        <w:t xml:space="preserve">4.1 估值水平</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200"/>
        <w:gridCol w:w="2000"/>
        <w:gridCol w:w="2900"/>
        <w:gridCol w:w="28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当前</w:t>
            </w:r>
          </w:p>
        </w:tc>
        <w:tc>
          <w:tcPr>
            <w:tcW w:type="dxa" w:w="2900"/>
            <w:shd w:fill="1F4E79" w:val="clear"/>
            <w:tcMar>
              <w:top w:type="dxa" w:w="80"/>
              <w:left w:type="dxa" w:w="100"/>
              <w:bottom w:type="dxa" w:w="80"/>
              <w:right w:type="dxa" w:w="100"/>
            </w:tcMar>
            <w:vAlign w:val="center"/>
          </w:tcPr>
          <w:p>
            <w:pPr>
              <w:jc w:val="center"/>
            </w:pPr>
            <w:r>
              <w:rPr>
                <w:b/>
                <w:bCs/>
                <w:color w:val="FFFFFF"/>
                <w:sz w:val="20"/>
                <w:szCs w:val="20"/>
              </w:rPr>
              <w:t xml:space="preserve">自身历史</w:t>
            </w:r>
          </w:p>
        </w:tc>
        <w:tc>
          <w:tcPr>
            <w:tcW w:type="dxa" w:w="2800"/>
            <w:shd w:fill="1F4E79" w:val="clear"/>
            <w:tcMar>
              <w:top w:type="dxa" w:w="80"/>
              <w:left w:type="dxa" w:w="100"/>
              <w:bottom w:type="dxa" w:w="80"/>
              <w:right w:type="dxa" w:w="100"/>
            </w:tcMar>
            <w:vAlign w:val="center"/>
          </w:tcPr>
          <w:p>
            <w:pPr>
              <w:jc w:val="center"/>
            </w:pPr>
            <w:r>
              <w:rPr>
                <w:b/>
                <w:bCs/>
                <w:color w:val="FFFFFF"/>
                <w:sz w:val="20"/>
                <w:szCs w:val="20"/>
              </w:rPr>
              <w:t xml:space="preserve">同行对比</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PE(TTM)</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32.55倍</w:t>
            </w:r>
          </w:p>
        </w:tc>
        <w:tc>
          <w:tcPr>
            <w:tcW w:type="dxa" w:w="2900"/>
            <w:tcMar>
              <w:top w:type="dxa" w:w="80"/>
              <w:left w:type="dxa" w:w="100"/>
              <w:bottom w:type="dxa" w:w="80"/>
              <w:right w:type="dxa" w:w="100"/>
            </w:tcMar>
            <w:vAlign w:val="center"/>
          </w:tcPr>
          <w:p>
            <w:pPr>
              <w:jc w:val="center"/>
            </w:pPr>
            <w:r>
              <w:rPr>
                <w:b w:val="false"/>
                <w:bCs w:val="false"/>
                <w:color w:val="000000"/>
                <w:sz w:val="20"/>
                <w:szCs w:val="20"/>
              </w:rPr>
              <w:t xml:space="preserve">近5.2年98%分位（中位数20.59倍）</w:t>
            </w:r>
          </w:p>
        </w:tc>
        <w:tc>
          <w:tcPr>
            <w:tcW w:type="dxa" w:w="2800"/>
            <w:tcMar>
              <w:top w:type="dxa" w:w="80"/>
              <w:left w:type="dxa" w:w="100"/>
              <w:bottom w:type="dxa" w:w="80"/>
              <w:right w:type="dxa" w:w="100"/>
            </w:tcMar>
            <w:vAlign w:val="center"/>
          </w:tcPr>
          <w:p>
            <w:pPr>
              <w:jc w:val="center"/>
            </w:pPr>
            <w:r>
              <w:rPr>
                <w:b w:val="false"/>
                <w:bCs w:val="false"/>
                <w:color w:val="000000"/>
                <w:sz w:val="20"/>
                <w:szCs w:val="20"/>
              </w:rPr>
              <w:t xml:space="preserve">许继电气22.57倍；林洋能源34.42倍</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PB(MRQ)</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1.64倍</w:t>
            </w:r>
          </w:p>
        </w:tc>
        <w:tc>
          <w:tcPr>
            <w:tcW w:type="dxa" w:w="2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近5.2年5%分位（中位数2.51倍）</w:t>
            </w:r>
          </w:p>
        </w:tc>
        <w:tc>
          <w:tcPr>
            <w:tcW w:type="dxa" w:w="2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许继电气1.73倍；林洋能源0.77倍</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股息率</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约1.05%</w:t>
            </w:r>
          </w:p>
        </w:tc>
        <w:tc>
          <w:tcPr>
            <w:tcW w:type="dxa" w:w="2900"/>
            <w:tcMar>
              <w:top w:type="dxa" w:w="80"/>
              <w:left w:type="dxa" w:w="100"/>
              <w:bottom w:type="dxa" w:w="80"/>
              <w:right w:type="dxa" w:w="100"/>
            </w:tcMar>
            <w:vAlign w:val="center"/>
          </w:tcPr>
          <w:p>
            <w:pPr>
              <w:jc w:val="center"/>
            </w:pPr>
            <w:r>
              <w:rPr>
                <w:b w:val="false"/>
                <w:bCs w:val="false"/>
                <w:color w:val="000000"/>
                <w:sz w:val="20"/>
                <w:szCs w:val="20"/>
              </w:rPr>
              <w:t xml:space="preserve">—</w:t>
            </w:r>
          </w:p>
        </w:tc>
        <w:tc>
          <w:tcPr>
            <w:tcW w:type="dxa" w:w="2800"/>
            <w:tcMar>
              <w:top w:type="dxa" w:w="80"/>
              <w:left w:type="dxa" w:w="100"/>
              <w:bottom w:type="dxa" w:w="80"/>
              <w:right w:type="dxa" w:w="100"/>
            </w:tcMar>
            <w:vAlign w:val="center"/>
          </w:tcPr>
          <w:p>
            <w:pPr>
              <w:jc w:val="center"/>
            </w:pPr>
            <w:r>
              <w:rPr>
                <w:b w:val="false"/>
                <w:bCs w:val="false"/>
                <w:color w:val="000000"/>
                <w:sz w:val="20"/>
                <w:szCs w:val="20"/>
              </w:rPr>
              <w:t xml:space="preserve">—</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PS(TTM)</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1.41倍</w:t>
            </w:r>
          </w:p>
        </w:tc>
        <w:tc>
          <w:tcPr>
            <w:tcW w:type="dxa" w:w="2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近5.2年1%分位（中位数2.34倍）</w:t>
            </w:r>
          </w:p>
        </w:tc>
        <w:tc>
          <w:tcPr>
            <w:tcW w:type="dxa" w:w="2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w:t>
            </w:r>
          </w:p>
        </w:tc>
      </w:tr>
    </w:tbl>
    <w:p>
      <w:pPr>
        <w:spacing w:before="200"/>
      </w:pPr>
    </w:p>
    <w:p>
      <w:pPr>
        <w:spacing w:after="200"/>
      </w:pPr>
      <w:r>
        <w:rPr>
          <w:i/>
          <w:iCs/>
          <w:color w:val="595959"/>
          <w:sz w:val="18"/>
          <w:szCs w:val="18"/>
        </w:rPr>
        <w:t xml:space="preserve">估值倍数由程序按2026-09-30收盘数据计算（滚动十二个月口径）</w:t>
      </w:r>
    </w:p>
    <w:p>
      <w:pPr>
        <w:spacing w:after="160" w:line="300"/>
      </w:pPr>
      <w:r>
        <w:rPr>
          <w:sz w:val="22"/>
          <w:szCs w:val="22"/>
        </w:rPr>
        <w:t xml:space="preserve">市场隐含预期：以当前32.55倍市盈率计，若投资者要求年化8%的回报、10年后按15倍市盈率估值，每股收益需年均增长约16.7%（不计分红，偏保守），可与下方一致预期增速对照。</w:t>
      </w:r>
    </w:p>
    <w:p>
      <w:pPr>
        <w:spacing w:after="160" w:line="300"/>
      </w:pPr>
      <w:r>
        <w:rPr>
          <w:sz w:val="22"/>
          <w:szCs w:val="22"/>
        </w:rPr>
        <w:t xml:space="preserve">PE-TTM 32.55倍处近5.2年98%分位，高于20.59倍中位数；PB 1.64倍处5%分位、PS 1.41倍处1%分位，估值信号分化。价格隐含EPS年均增长约16.7%，低于机构2026—2028年预测期约30%的复合增速，但该预测建立在2026年利润下滑后的反弹之上。</w:t>
      </w:r>
    </w:p>
    <w:p>
      <w:pPr>
        <w:pStyle w:val="Heading2"/>
        <w:spacing w:after="120" w:before="240"/>
      </w:pPr>
      <w:r>
        <w:rPr>
          <w:b/>
          <w:bCs/>
          <w:color w:val="2E74B5"/>
          <w:sz w:val="24"/>
          <w:szCs w:val="24"/>
        </w:rPr>
        <w:t xml:space="preserve">4.2 一致预期</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142.37亿元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12.05亿元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0.86元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168.86亿元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16.00亿元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1.14元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197.54亿元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20.51亿元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1.46元</w:t>
            </w:r>
          </w:p>
        </w:tc>
      </w:tr>
    </w:tbl>
    <w:p>
      <w:pPr>
        <w:spacing w:before="200"/>
      </w:pPr>
    </w:p>
    <w:p>
      <w:pPr>
        <w:spacing w:after="200"/>
      </w:pPr>
      <w:r>
        <w:rPr>
          <w:i/>
          <w:iCs/>
          <w:color w:val="595959"/>
          <w:sz w:val="18"/>
          <w:szCs w:val="18"/>
        </w:rPr>
        <w:t xml:space="preserve">3家具名机构简单均值，报告日8月31日至9月3日；另有7家汇总的2026年归母净利均值13.94亿元，样本口径不同。</w:t>
      </w:r>
    </w:p>
    <w:p>
      <w:pPr>
        <w:pStyle w:val="Heading2"/>
        <w:spacing w:after="120" w:before="240"/>
      </w:pPr>
      <w:r>
        <w:rPr>
          <w:b/>
          <w:bCs/>
          <w:color w:val="2E74B5"/>
          <w:sz w:val="24"/>
          <w:szCs w:val="24"/>
        </w:rPr>
        <w:t xml:space="preserve">4.3 机构观点</w:t>
      </w:r>
    </w:p>
    <w:p>
      <w:pPr>
        <w:spacing w:after="160" w:line="300"/>
      </w:pPr>
      <w:r>
        <w:rPr>
          <w:sz w:val="22"/>
          <w:szCs w:val="22"/>
        </w:rPr>
        <w:t xml:space="preserve">近180天7家评级样本；4家目标价中位数31.68元，均值及区间未提供。最新可核实评级为东吴证券2026年9月2日。</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9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9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东吴证券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2026-09-02</w:t>
            </w:r>
          </w:p>
        </w:tc>
        <w:tc>
          <w:tcPr>
            <w:tcW w:type="dxa" w:w="3900"/>
            <w:tcMar>
              <w:top w:type="dxa" w:w="80"/>
              <w:left w:type="dxa" w:w="100"/>
              <w:bottom w:type="dxa" w:w="80"/>
              <w:right w:type="dxa" w:w="100"/>
            </w:tcMar>
            <w:vAlign w:val="center"/>
          </w:tcPr>
          <w:p>
            <w:pPr>
              <w:jc w:val="center"/>
            </w:pPr>
            <w:r>
              <w:rPr>
                <w:b w:val="false"/>
                <w:bCs w:val="false"/>
                <w:color w:val="000000"/>
                <w:sz w:val="20"/>
                <w:szCs w:val="20"/>
              </w:rPr>
              <w:t xml:space="preserve">下调2026—2028年归母净利预测至12.2/15.6/20.1亿元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国金证券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2026-08-31</w:t>
            </w:r>
          </w:p>
        </w:tc>
        <w:tc>
          <w:tcPr>
            <w:tcW w:type="dxa" w:w="3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w:t>
            </w:r>
          </w:p>
        </w:tc>
      </w:tr>
    </w:tbl>
    <w:p>
      <w:pPr>
        <w:spacing w:before="200"/>
      </w:pPr>
    </w:p>
    <w:p>
      <w:pPr>
        <w:pStyle w:val="Heading1"/>
        <w:pBdr>
          <w:bottom w:val="single" w:color="1F4E79" w:sz="6" w:space="4"/>
        </w:pBdr>
        <w:spacing w:after="160" w:before="360"/>
      </w:pPr>
      <w:r>
        <w:rPr>
          <w:b/>
          <w:bCs/>
          <w:color w:val="1F4E79"/>
          <w:sz w:val="30"/>
          <w:szCs w:val="30"/>
        </w:rPr>
        <w:t xml:space="preserve">五、催化剂与近期事件</w:t>
      </w:r>
    </w:p>
    <w:p>
      <w:pPr>
        <w:pStyle w:val="Heading2"/>
        <w:spacing w:after="120" w:before="240"/>
      </w:pPr>
      <w:r>
        <w:rPr>
          <w:b/>
          <w:bCs/>
          <w:color w:val="2E74B5"/>
          <w:sz w:val="24"/>
          <w:szCs w:val="24"/>
        </w:rPr>
        <w:t xml:space="preserve">5.1 未来关键节点</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200"/>
        <w:gridCol w:w="3000"/>
        <w:gridCol w:w="4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时间</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事件</w:t>
            </w:r>
          </w:p>
        </w:tc>
        <w:tc>
          <w:tcPr>
            <w:tcW w:type="dxa" w:w="4700"/>
            <w:shd w:fill="1F4E79" w:val="clear"/>
            <w:tcMar>
              <w:top w:type="dxa" w:w="80"/>
              <w:left w:type="dxa" w:w="100"/>
              <w:bottom w:type="dxa" w:w="80"/>
              <w:right w:type="dxa" w:w="100"/>
            </w:tcMar>
            <w:vAlign w:val="center"/>
          </w:tcPr>
          <w:p>
            <w:pPr>
              <w:jc w:val="center"/>
            </w:pPr>
            <w:r>
              <w:rPr>
                <w:b/>
                <w:bCs/>
                <w:color w:val="FFFFFF"/>
                <w:sz w:val="20"/>
                <w:szCs w:val="20"/>
              </w:rPr>
              <w:t xml:space="preserve">看点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2026年10月15日后</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核心团队持股计划回购注销进展</w:t>
            </w:r>
          </w:p>
        </w:tc>
        <w:tc>
          <w:tcPr>
            <w:tcW w:type="dxa" w:w="4700"/>
            <w:tcMar>
              <w:top w:type="dxa" w:w="80"/>
              <w:left w:type="dxa" w:w="100"/>
              <w:bottom w:type="dxa" w:w="80"/>
              <w:right w:type="dxa" w:w="100"/>
            </w:tcMar>
            <w:vAlign w:val="center"/>
          </w:tcPr>
          <w:p>
            <w:pPr>
              <w:jc w:val="center"/>
            </w:pPr>
            <w:r>
              <w:rPr>
                <w:b w:val="false"/>
                <w:bCs w:val="false"/>
                <w:color w:val="000000"/>
                <w:sz w:val="20"/>
                <w:szCs w:val="20"/>
              </w:rPr>
              <w:t xml:space="preserve">债权申报期于10月15日结束；关注后续注销公告及股本变动，完成日期尚未披露。</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2026年10月30日（预约日）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三季度报告披露</w:t>
            </w:r>
          </w:p>
        </w:tc>
        <w:tc>
          <w:tcPr>
            <w:tcW w:type="dxa" w:w="4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该日期来自公开个股日历，非公司专项预约公告；关注订单价格、原材料及汇率压力、海外订单和现金流。</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未来约6个月，时间未定</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海外订单履约进展</w:t>
            </w:r>
          </w:p>
        </w:tc>
        <w:tc>
          <w:tcPr>
            <w:tcW w:type="dxa" w:w="4700"/>
            <w:tcMar>
              <w:top w:type="dxa" w:w="80"/>
              <w:left w:type="dxa" w:w="100"/>
              <w:bottom w:type="dxa" w:w="80"/>
              <w:right w:type="dxa" w:w="100"/>
            </w:tcMar>
            <w:vAlign w:val="center"/>
          </w:tcPr>
          <w:p>
            <w:pPr>
              <w:jc w:val="center"/>
            </w:pPr>
            <w:r>
              <w:rPr>
                <w:b w:val="false"/>
                <w:bCs w:val="false"/>
                <w:color w:val="000000"/>
                <w:sz w:val="20"/>
                <w:szCs w:val="20"/>
              </w:rPr>
              <w:t xml:space="preserve">关注美国、波兰项目交付及收入确认；若披露盈利贡献，可验证订单能否转化为业绩。</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未来约6个月，时间未定</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南网预中标后续进展</w:t>
            </w:r>
          </w:p>
        </w:tc>
        <w:tc>
          <w:tcPr>
            <w:tcW w:type="dxa" w:w="4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关注是否收到中标通知并正式签约；目前尚无可确认的正式签约信息。</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未来约6个月，时间未定</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H股上市审核进度</w:t>
            </w:r>
          </w:p>
        </w:tc>
        <w:tc>
          <w:tcPr>
            <w:tcW w:type="dxa" w:w="4700"/>
            <w:tcMar>
              <w:top w:type="dxa" w:w="80"/>
              <w:left w:type="dxa" w:w="100"/>
              <w:bottom w:type="dxa" w:w="80"/>
              <w:right w:type="dxa" w:w="100"/>
            </w:tcMar>
            <w:vAlign w:val="center"/>
          </w:tcPr>
          <w:p>
            <w:pPr>
              <w:jc w:val="center"/>
            </w:pPr>
            <w:r>
              <w:rPr>
                <w:b w:val="false"/>
                <w:bCs w:val="false"/>
                <w:color w:val="000000"/>
                <w:sz w:val="20"/>
                <w:szCs w:val="20"/>
              </w:rPr>
              <w:t xml:space="preserve">截至9月7日尚未通过聆讯且发行价格未定；关注聆讯、定价及发行安排是否明确。</w:t>
            </w:r>
          </w:p>
        </w:tc>
      </w:tr>
    </w:tbl>
    <w:p>
      <w:pPr>
        <w:spacing w:before="200"/>
      </w:pPr>
    </w:p>
    <w:p>
      <w:pPr>
        <w:pStyle w:val="Heading2"/>
        <w:spacing w:after="120" w:before="240"/>
      </w:pPr>
      <w:r>
        <w:rPr>
          <w:b/>
          <w:bCs/>
          <w:color w:val="2E74B5"/>
          <w:sz w:val="24"/>
          <w:szCs w:val="24"/>
        </w:rPr>
        <w:t xml:space="preserve">5.2 近期重要事件</w:t>
      </w:r>
    </w:p>
    <w:p>
      <w:pPr>
        <w:pStyle w:val="ListParagraph"/>
        <w:numPr>
          <w:ilvl w:val="0"/>
          <w:numId w:val="2"/>
        </w:numPr>
        <w:spacing w:after="80" w:line="280"/>
      </w:pPr>
      <w:r>
        <w:rPr>
          <w:b/>
          <w:bCs/>
          <w:sz w:val="22"/>
          <w:szCs w:val="22"/>
        </w:rPr>
        <w:t xml:space="preserve">2026年8月31日 半年报利润同比大幅下滑（利空）</w:t>
      </w:r>
      <w:r>
        <w:rPr>
          <w:sz w:val="22"/>
          <w:szCs w:val="22"/>
        </w:rPr>
        <w:t xml:space="preserve">：上半年营收72.62亿元、归母净利润5.46亿元，同比分别下降8.90%、55.61%；扣非净利润下降63.46%。公司称订单价格、原材料及汇率承压。</w:t>
      </w:r>
    </w:p>
    <w:p>
      <w:pPr>
        <w:pStyle w:val="ListParagraph"/>
        <w:numPr>
          <w:ilvl w:val="0"/>
          <w:numId w:val="2"/>
        </w:numPr>
        <w:spacing w:after="80" w:line="280"/>
      </w:pPr>
      <w:r>
        <w:rPr>
          <w:b/>
          <w:bCs/>
          <w:sz w:val="22"/>
          <w:szCs w:val="22"/>
        </w:rPr>
        <w:t xml:space="preserve">2026年9月24日 中标美国数据中心变压器项目（利好）</w:t>
      </w:r>
      <w:r>
        <w:rPr>
          <w:sz w:val="22"/>
          <w:szCs w:val="22"/>
        </w:rPr>
        <w:t xml:space="preserve">：全资子公司中标美国数据中心储能油变项目，合同额1.32亿美元，公告折合约8.85亿元；未披露交付节奏及利润率，合同金额不等于当期业绩。</w:t>
      </w:r>
    </w:p>
    <w:p>
      <w:pPr>
        <w:pStyle w:val="ListParagraph"/>
        <w:numPr>
          <w:ilvl w:val="0"/>
          <w:numId w:val="2"/>
        </w:numPr>
        <w:spacing w:after="80" w:line="280"/>
      </w:pPr>
      <w:r>
        <w:rPr>
          <w:b/>
          <w:bCs/>
          <w:sz w:val="22"/>
          <w:szCs w:val="22"/>
        </w:rPr>
        <w:t xml:space="preserve">2026年8月7日 签订波兰智能计量合同（利好）</w:t>
      </w:r>
      <w:r>
        <w:rPr>
          <w:sz w:val="22"/>
          <w:szCs w:val="22"/>
        </w:rPr>
        <w:t xml:space="preserve">：控股子公司Foxytech签订波兰Stoen Operator智能电表及通信模块合同，金额约1.75亿元，占2025年营收1.22%；履约仍受交付、汇率等因素影响。</w:t>
      </w:r>
    </w:p>
    <w:p>
      <w:pPr>
        <w:pStyle w:val="ListParagraph"/>
        <w:numPr>
          <w:ilvl w:val="0"/>
          <w:numId w:val="2"/>
        </w:numPr>
        <w:spacing w:after="80" w:line="280"/>
      </w:pPr>
      <w:r>
        <w:rPr>
          <w:b/>
          <w:bCs/>
          <w:sz w:val="22"/>
          <w:szCs w:val="22"/>
        </w:rPr>
        <w:t xml:space="preserve">2026年8月18日 南网项目处于预中标阶段（利好）</w:t>
      </w:r>
      <w:r>
        <w:rPr>
          <w:sz w:val="22"/>
          <w:szCs w:val="22"/>
        </w:rPr>
        <w:t xml:space="preserve">：全资子公司成为南方电网配网设备项目中标候选人，测算金额约2.046亿元；公告时尚未收到中标通知书，不能视为已签合同。</w:t>
      </w:r>
    </w:p>
    <w:p>
      <w:pPr>
        <w:pStyle w:val="Heading1"/>
        <w:pBdr>
          <w:bottom w:val="single" w:color="1F4E79" w:sz="6" w:space="4"/>
        </w:pBdr>
        <w:spacing w:after="160" w:before="360"/>
      </w:pPr>
      <w:r>
        <w:rPr>
          <w:b/>
          <w:bCs/>
          <w:color w:val="1F4E79"/>
          <w:sz w:val="30"/>
          <w:szCs w:val="30"/>
        </w:rPr>
        <w:t xml:space="preserve">六、多空分歧与风险</w:t>
      </w:r>
    </w:p>
    <w:p>
      <w:pPr>
        <w:pStyle w:val="Heading2"/>
        <w:spacing w:after="120" w:before="240"/>
      </w:pPr>
      <w:r>
        <w:rPr>
          <w:b/>
          <w:bCs/>
          <w:color w:val="2E74B5"/>
          <w:sz w:val="24"/>
          <w:szCs w:val="24"/>
        </w:rPr>
        <w:t xml:space="preserve">6.1 看多理由</w:t>
      </w:r>
    </w:p>
    <w:p>
      <w:pPr>
        <w:pStyle w:val="ListParagraph"/>
        <w:numPr>
          <w:ilvl w:val="0"/>
          <w:numId w:val="2"/>
        </w:numPr>
        <w:spacing w:after="80" w:line="280"/>
      </w:pPr>
      <w:r>
        <w:rPr>
          <w:sz w:val="22"/>
          <w:szCs w:val="22"/>
        </w:rPr>
        <w:t xml:space="preserve">美国数据中心变压器项目合同约8.85亿元，约为2025年营收的6.2%，若顺利交付可带来新增收入。</w:t>
      </w:r>
    </w:p>
    <w:p>
      <w:pPr>
        <w:pStyle w:val="ListParagraph"/>
        <w:numPr>
          <w:ilvl w:val="0"/>
          <w:numId w:val="2"/>
        </w:numPr>
        <w:spacing w:after="80" w:line="280"/>
      </w:pPr>
      <w:r>
        <w:rPr>
          <w:sz w:val="22"/>
          <w:szCs w:val="22"/>
        </w:rPr>
        <w:t xml:space="preserve">波兰智能计量合同约1.75亿元，叠加海外生产及销售网络，为配用电业务拓展提供基础。</w:t>
      </w:r>
    </w:p>
    <w:p>
      <w:pPr>
        <w:pStyle w:val="ListParagraph"/>
        <w:numPr>
          <w:ilvl w:val="0"/>
          <w:numId w:val="2"/>
        </w:numPr>
        <w:spacing w:after="80" w:line="280"/>
      </w:pPr>
      <w:r>
        <w:rPr>
          <w:sz w:val="22"/>
          <w:szCs w:val="22"/>
        </w:rPr>
        <w:t xml:space="preserve">机构均值预测归母净利润由2026年12.05亿元升至2028年20.51亿元，若兑现将形成明显盈利修复。</w:t>
      </w:r>
    </w:p>
    <w:p>
      <w:pPr>
        <w:pStyle w:val="Heading2"/>
        <w:spacing w:after="120" w:before="240"/>
      </w:pPr>
      <w:r>
        <w:rPr>
          <w:b/>
          <w:bCs/>
          <w:color w:val="2E74B5"/>
          <w:sz w:val="24"/>
          <w:szCs w:val="24"/>
        </w:rPr>
        <w:t xml:space="preserve">6.2 看空理由</w:t>
      </w:r>
    </w:p>
    <w:p>
      <w:pPr>
        <w:pStyle w:val="ListParagraph"/>
        <w:numPr>
          <w:ilvl w:val="0"/>
          <w:numId w:val="2"/>
        </w:numPr>
        <w:spacing w:after="80" w:line="280"/>
      </w:pPr>
      <w:r>
        <w:rPr>
          <w:sz w:val="22"/>
          <w:szCs w:val="22"/>
        </w:rPr>
        <w:t xml:space="preserve">2026H1归母净利润同比下降55.61%、扣非下降63.46%，利润降幅显著大于营收降幅。</w:t>
      </w:r>
    </w:p>
    <w:p>
      <w:pPr>
        <w:pStyle w:val="ListParagraph"/>
        <w:numPr>
          <w:ilvl w:val="0"/>
          <w:numId w:val="2"/>
        </w:numPr>
        <w:spacing w:after="80" w:line="280"/>
      </w:pPr>
      <w:r>
        <w:rPr>
          <w:sz w:val="22"/>
          <w:szCs w:val="22"/>
        </w:rPr>
        <w:t xml:space="preserve">2025年配用电毛利率27.08%、医疗服务毛利率28.84%，两项业务收入分别仅增0.38%、下降8.67%。</w:t>
      </w:r>
    </w:p>
    <w:p>
      <w:pPr>
        <w:pStyle w:val="ListParagraph"/>
        <w:numPr>
          <w:ilvl w:val="0"/>
          <w:numId w:val="2"/>
        </w:numPr>
        <w:spacing w:after="80" w:line="280"/>
      </w:pPr>
      <w:r>
        <w:rPr>
          <w:sz w:val="22"/>
          <w:szCs w:val="22"/>
        </w:rPr>
        <w:t xml:space="preserve">PE-TTM 32.55倍处近5.2年98%分位，而机构预测2026年归母净利润12.05亿元，低于2025年的12.74亿元。</w:t>
      </w:r>
    </w:p>
    <w:p>
      <w:pPr>
        <w:pStyle w:val="Heading2"/>
        <w:spacing w:after="120" w:before="240"/>
      </w:pPr>
      <w:r>
        <w:rPr>
          <w:b/>
          <w:bCs/>
          <w:color w:val="2E74B5"/>
          <w:sz w:val="24"/>
          <w:szCs w:val="24"/>
        </w:rPr>
        <w:t xml:space="preserve">6.3 其他风险</w:t>
      </w:r>
    </w:p>
    <w:p>
      <w:pPr>
        <w:pStyle w:val="ListParagraph"/>
        <w:numPr>
          <w:ilvl w:val="0"/>
          <w:numId w:val="2"/>
        </w:numPr>
        <w:spacing w:after="80" w:line="280"/>
      </w:pPr>
      <w:r>
        <w:rPr>
          <w:sz w:val="22"/>
          <w:szCs w:val="22"/>
        </w:rPr>
        <w:t xml:space="preserve">应收账款原值32.40亿元、约为营收22.6%；回款放缓将占用营运资金并加剧现金流压力。</w:t>
      </w:r>
    </w:p>
    <w:p>
      <w:pPr>
        <w:pStyle w:val="ListParagraph"/>
        <w:numPr>
          <w:ilvl w:val="0"/>
          <w:numId w:val="2"/>
        </w:numPr>
        <w:spacing w:after="80" w:line="280"/>
      </w:pPr>
      <w:r>
        <w:rPr>
          <w:sz w:val="22"/>
          <w:szCs w:val="22"/>
        </w:rPr>
        <w:t xml:space="preserve">直接材料占电工仪表业务主营成本约90.17%；材料涨价若不能转嫁，将进一步压低配用电毛利率。</w:t>
      </w:r>
    </w:p>
    <w:p>
      <w:pPr>
        <w:pStyle w:val="ListParagraph"/>
        <w:numPr>
          <w:ilvl w:val="0"/>
          <w:numId w:val="2"/>
        </w:numPr>
        <w:spacing w:after="80" w:line="280"/>
      </w:pPr>
      <w:r>
        <w:rPr>
          <w:sz w:val="22"/>
          <w:szCs w:val="22"/>
        </w:rPr>
        <w:t xml:space="preserve">医疗服务受医保支付及医院运营效率影响；支付政策或单院爬坡不及预期将拖累收入、利润并增加商誉减值压力。</w:t>
      </w:r>
    </w:p>
    <w:p>
      <w:pPr>
        <w:pStyle w:val="ListParagraph"/>
        <w:numPr>
          <w:ilvl w:val="0"/>
          <w:numId w:val="2"/>
        </w:numPr>
        <w:spacing w:after="80" w:line="280"/>
      </w:pPr>
      <w:r>
        <w:rPr>
          <w:sz w:val="22"/>
          <w:szCs w:val="22"/>
        </w:rPr>
        <w:t xml:space="preserve">H股上市尚未通过聆讯且发行价格未定；若后续融资安排落地，发行稀释可能影响每股收益。</w:t>
      </w:r>
    </w:p>
    <w:p>
      <w:pPr>
        <w:pStyle w:val="Heading1"/>
        <w:pBdr>
          <w:bottom w:val="single" w:color="1F4E79" w:sz="6" w:space="4"/>
        </w:pBdr>
        <w:spacing w:after="160" w:before="360"/>
      </w:pPr>
      <w:r>
        <w:rPr>
          <w:b/>
          <w:bCs/>
          <w:color w:val="1F4E79"/>
          <w:sz w:val="30"/>
          <w:szCs w:val="30"/>
        </w:rPr>
        <w:t xml:space="preserve">七、跟踪清单</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100"/>
        <w:gridCol w:w="2200"/>
        <w:gridCol w:w="2800"/>
        <w:gridCol w:w="2800"/>
      </w:tblGrid>
      <w:tr>
        <w:trPr>
          <w:tblHeader/>
        </w:trPr>
        <w:tc>
          <w:tcPr>
            <w:tcW w:type="dxa" w:w="2100"/>
            <w:shd w:fill="1F4E79" w:val="clear"/>
            <w:tcMar>
              <w:top w:type="dxa" w:w="80"/>
              <w:left w:type="dxa" w:w="100"/>
              <w:bottom w:type="dxa" w:w="80"/>
              <w:right w:type="dxa" w:w="100"/>
            </w:tcMar>
            <w:vAlign w:val="center"/>
          </w:tcPr>
          <w:p>
            <w:pPr>
              <w:jc w:val="center"/>
            </w:pPr>
            <w:r>
              <w:rPr>
                <w:b/>
                <w:bCs/>
                <w:color w:val="FFFFFF"/>
                <w:sz w:val="20"/>
                <w:szCs w:val="20"/>
              </w:rPr>
              <w:t xml:space="preserve">跟踪指标</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当前</w:t>
            </w:r>
          </w:p>
        </w:tc>
        <w:tc>
          <w:tcPr>
            <w:tcW w:type="dxa" w:w="2800"/>
            <w:shd w:fill="1F4E79" w:val="clear"/>
            <w:tcMar>
              <w:top w:type="dxa" w:w="80"/>
              <w:left w:type="dxa" w:w="100"/>
              <w:bottom w:type="dxa" w:w="80"/>
              <w:right w:type="dxa" w:w="100"/>
            </w:tcMar>
            <w:vAlign w:val="center"/>
          </w:tcPr>
          <w:p>
            <w:pPr>
              <w:jc w:val="center"/>
            </w:pPr>
            <w:r>
              <w:rPr>
                <w:b/>
                <w:bCs/>
                <w:color w:val="FFFFFF"/>
                <w:sz w:val="20"/>
                <w:szCs w:val="20"/>
              </w:rPr>
              <w:t xml:space="preserve">验证看多</w:t>
            </w:r>
          </w:p>
        </w:tc>
        <w:tc>
          <w:tcPr>
            <w:tcW w:type="dxa" w:w="2800"/>
            <w:shd w:fill="1F4E79" w:val="clear"/>
            <w:tcMar>
              <w:top w:type="dxa" w:w="80"/>
              <w:left w:type="dxa" w:w="100"/>
              <w:bottom w:type="dxa" w:w="80"/>
              <w:right w:type="dxa" w:w="100"/>
            </w:tcMar>
            <w:vAlign w:val="center"/>
          </w:tcPr>
          <w:p>
            <w:pPr>
              <w:jc w:val="center"/>
            </w:pPr>
            <w:r>
              <w:rPr>
                <w:b/>
                <w:bCs/>
                <w:color w:val="FFFFFF"/>
                <w:sz w:val="20"/>
                <w:szCs w:val="20"/>
              </w:rPr>
              <w:t xml:space="preserve">验证看空</w:t>
            </w:r>
          </w:p>
        </w:tc>
      </w:tr>
      <w:tr>
        <w:tc>
          <w:tcPr>
            <w:tcW w:type="dxa" w:w="2100"/>
            <w:tcMar>
              <w:top w:type="dxa" w:w="80"/>
              <w:left w:type="dxa" w:w="100"/>
              <w:bottom w:type="dxa" w:w="80"/>
              <w:right w:type="dxa" w:w="100"/>
            </w:tcMar>
            <w:vAlign w:val="center"/>
          </w:tcPr>
          <w:p>
            <w:pPr>
              <w:jc w:val="left"/>
            </w:pPr>
            <w:r>
              <w:rPr>
                <w:b w:val="false"/>
                <w:bCs w:val="false"/>
                <w:color w:val="000000"/>
                <w:sz w:val="20"/>
                <w:szCs w:val="20"/>
              </w:rPr>
              <w:t xml:space="preserve">综合毛利率</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2026H1为24.82%</w:t>
            </w:r>
          </w:p>
        </w:tc>
        <w:tc>
          <w:tcPr>
            <w:tcW w:type="dxa" w:w="2800"/>
            <w:tcMar>
              <w:top w:type="dxa" w:w="80"/>
              <w:left w:type="dxa" w:w="100"/>
              <w:bottom w:type="dxa" w:w="80"/>
              <w:right w:type="dxa" w:w="100"/>
            </w:tcMar>
            <w:vAlign w:val="center"/>
          </w:tcPr>
          <w:p>
            <w:pPr>
              <w:jc w:val="center"/>
            </w:pPr>
            <w:r>
              <w:rPr>
                <w:b w:val="false"/>
                <w:bCs w:val="false"/>
                <w:color w:val="000000"/>
                <w:sz w:val="20"/>
                <w:szCs w:val="20"/>
              </w:rPr>
              <w:t xml:space="preserve">后续季度回升并稳定在27%以上</w:t>
            </w:r>
          </w:p>
        </w:tc>
        <w:tc>
          <w:tcPr>
            <w:tcW w:type="dxa" w:w="2800"/>
            <w:tcMar>
              <w:top w:type="dxa" w:w="80"/>
              <w:left w:type="dxa" w:w="100"/>
              <w:bottom w:type="dxa" w:w="80"/>
              <w:right w:type="dxa" w:w="100"/>
            </w:tcMar>
            <w:vAlign w:val="center"/>
          </w:tcPr>
          <w:p>
            <w:pPr>
              <w:jc w:val="center"/>
            </w:pPr>
            <w:r>
              <w:rPr>
                <w:b w:val="false"/>
                <w:bCs w:val="false"/>
                <w:color w:val="000000"/>
                <w:sz w:val="20"/>
                <w:szCs w:val="20"/>
              </w:rPr>
              <w:t xml:space="preserve">继续低于25%或同比再度下滑</w:t>
            </w:r>
          </w:p>
        </w:tc>
      </w:tr>
      <w:tr>
        <w:tc>
          <w:tcPr>
            <w:tcW w:type="dxa" w:w="21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海外订单履约与盈利</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美国约8.85亿元、波兰约1.75亿元合同</w:t>
            </w:r>
          </w:p>
        </w:tc>
        <w:tc>
          <w:tcPr>
            <w:tcW w:type="dxa" w:w="2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披露按期交付，并确认收入及正向毛利贡献</w:t>
            </w:r>
          </w:p>
        </w:tc>
        <w:tc>
          <w:tcPr>
            <w:tcW w:type="dxa" w:w="2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交付延迟，或收入增长但毛利贡献偏弱</w:t>
            </w:r>
          </w:p>
        </w:tc>
      </w:tr>
      <w:tr>
        <w:tc>
          <w:tcPr>
            <w:tcW w:type="dxa" w:w="2100"/>
            <w:tcMar>
              <w:top w:type="dxa" w:w="80"/>
              <w:left w:type="dxa" w:w="100"/>
              <w:bottom w:type="dxa" w:w="80"/>
              <w:right w:type="dxa" w:w="100"/>
            </w:tcMar>
            <w:vAlign w:val="center"/>
          </w:tcPr>
          <w:p>
            <w:pPr>
              <w:jc w:val="left"/>
            </w:pPr>
            <w:r>
              <w:rPr>
                <w:b w:val="false"/>
                <w:bCs w:val="false"/>
                <w:color w:val="000000"/>
                <w:sz w:val="20"/>
                <w:szCs w:val="20"/>
              </w:rPr>
              <w:t xml:space="preserve">经营现金流与应收回款</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2026H1经营现金流/归母净利润约0.26倍</w:t>
            </w:r>
          </w:p>
        </w:tc>
        <w:tc>
          <w:tcPr>
            <w:tcW w:type="dxa" w:w="2800"/>
            <w:tcMar>
              <w:top w:type="dxa" w:w="80"/>
              <w:left w:type="dxa" w:w="100"/>
              <w:bottom w:type="dxa" w:w="80"/>
              <w:right w:type="dxa" w:w="100"/>
            </w:tcMar>
            <w:vAlign w:val="center"/>
          </w:tcPr>
          <w:p>
            <w:pPr>
              <w:jc w:val="center"/>
            </w:pPr>
            <w:r>
              <w:rPr>
                <w:b w:val="false"/>
                <w:bCs w:val="false"/>
                <w:color w:val="000000"/>
                <w:sz w:val="20"/>
                <w:szCs w:val="20"/>
              </w:rPr>
              <w:t xml:space="preserve">现金流覆盖回升至1倍以上且应收账款下降</w:t>
            </w:r>
          </w:p>
        </w:tc>
        <w:tc>
          <w:tcPr>
            <w:tcW w:type="dxa" w:w="2800"/>
            <w:tcMar>
              <w:top w:type="dxa" w:w="80"/>
              <w:left w:type="dxa" w:w="100"/>
              <w:bottom w:type="dxa" w:w="80"/>
              <w:right w:type="dxa" w:w="100"/>
            </w:tcMar>
            <w:vAlign w:val="center"/>
          </w:tcPr>
          <w:p>
            <w:pPr>
              <w:jc w:val="center"/>
            </w:pPr>
            <w:r>
              <w:rPr>
                <w:b w:val="false"/>
                <w:bCs w:val="false"/>
                <w:color w:val="000000"/>
                <w:sz w:val="20"/>
                <w:szCs w:val="20"/>
              </w:rPr>
              <w:t xml:space="preserve">覆盖率持续低于0.5倍或应收继续增长</w:t>
            </w:r>
          </w:p>
        </w:tc>
      </w:tr>
      <w:tr>
        <w:tc>
          <w:tcPr>
            <w:tcW w:type="dxa" w:w="21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医疗业务及商誉</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2025年医疗收入下降8.67%；2026年6月末商誉约12.04亿元</w:t>
            </w:r>
          </w:p>
        </w:tc>
        <w:tc>
          <w:tcPr>
            <w:tcW w:type="dxa" w:w="2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医疗收入转正增长且不再新增重大减值</w:t>
            </w:r>
          </w:p>
        </w:tc>
        <w:tc>
          <w:tcPr>
            <w:tcW w:type="dxa" w:w="2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收入继续下滑或出现新增重大商誉减值</w:t>
            </w:r>
          </w:p>
        </w:tc>
      </w:tr>
    </w:tbl>
    <w:p>
      <w:pPr>
        <w:spacing w:before="200"/>
      </w:pPr>
    </w:p>
    <w:p>
      <w:pPr>
        <w:pStyle w:val="Heading1"/>
        <w:pBdr>
          <w:bottom w:val="single" w:color="1F4E79" w:sz="6" w:space="4"/>
        </w:pBdr>
        <w:spacing w:after="160" w:before="360"/>
      </w:pPr>
      <w:r>
        <w:rPr>
          <w:b/>
          <w:bCs/>
          <w:color w:val="1F4E79"/>
          <w:sz w:val="30"/>
          <w:szCs w:val="30"/>
        </w:rPr>
        <w:t xml:space="preserve">八、股价与短线展望（未来一周，情景推演，仅供参考）</w:t>
      </w:r>
    </w:p>
    <w:p>
      <w:pPr>
        <w:spacing w:after="160"/>
      </w:pPr>
      <w:r>
        <w:rPr>
          <w:b/>
          <w:bCs/>
          <w:color w:val="9C5700"/>
          <w:sz w:val="20"/>
          <w:szCs w:val="20"/>
        </w:rPr>
        <w:t xml:space="preserve">⚠️ 风险提示：以下情景权重为主观启发式判断，并非统计概率，不构成投资建议。</w:t>
      </w:r>
    </w:p>
    <w:p>
      <w:pPr>
        <w:pStyle w:val="Heading2"/>
        <w:spacing w:after="120" w:before="240"/>
      </w:pPr>
      <w:r>
        <w:rPr>
          <w:b/>
          <w:bCs/>
          <w:color w:val="2E74B5"/>
          <w:sz w:val="24"/>
          <w:szCs w:val="24"/>
        </w:rPr>
        <w:t xml:space="preserve">8.1 技术面概况</w:t>
      </w:r>
    </w:p>
    <w:p>
      <w:pPr>
        <w:spacing w:after="160" w:line="300"/>
      </w:pPr>
      <w:r>
        <w:rPr>
          <w:sz w:val="22"/>
          <w:szCs w:val="22"/>
        </w:rPr>
        <w:t xml:space="preserve">股价低于均线及布林中轨，近期资金连续净流出，短线偏弱；12.8元附近支撑与14.0~14.7元压力区是关键观察位。</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400"/>
        <w:gridCol w:w="3000"/>
        <w:gridCol w:w="45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4500"/>
            <w:shd w:fill="1F4E79" w:val="clear"/>
            <w:tcMar>
              <w:top w:type="dxa" w:w="80"/>
              <w:left w:type="dxa" w:w="100"/>
              <w:bottom w:type="dxa" w:w="80"/>
              <w:right w:type="dxa" w:w="100"/>
            </w:tcMar>
            <w:vAlign w:val="center"/>
          </w:tcPr>
          <w:p>
            <w:pPr>
              <w:jc w:val="center"/>
            </w:pPr>
            <w:r>
              <w:rPr>
                <w:b/>
                <w:bCs/>
                <w:color w:val="FFFFFF"/>
                <w:sz w:val="20"/>
                <w:szCs w:val="20"/>
              </w:rPr>
              <w:t xml:space="preserve">解读</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均线（MA5/10/20/60）</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14.64/14.51/14.06/14.71元</w:t>
            </w:r>
          </w:p>
        </w:tc>
        <w:tc>
          <w:tcPr>
            <w:tcW w:type="dxa" w:w="4500"/>
            <w:tcMar>
              <w:top w:type="dxa" w:w="80"/>
              <w:left w:type="dxa" w:w="100"/>
              <w:bottom w:type="dxa" w:w="80"/>
              <w:right w:type="dxa" w:w="100"/>
            </w:tcMar>
            <w:vAlign w:val="center"/>
          </w:tcPr>
          <w:p>
            <w:pPr>
              <w:jc w:val="center"/>
            </w:pPr>
            <w:r>
              <w:rPr>
                <w:b w:val="false"/>
                <w:bCs w:val="false"/>
                <w:color w:val="000000"/>
                <w:sz w:val="20"/>
                <w:szCs w:val="20"/>
              </w:rPr>
              <w:t xml:space="preserve">股价低于各期均线，反弹面临均线压力。</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布林带（上/中/下轨）</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15.53/14.06/12.59元</w:t>
            </w:r>
          </w:p>
        </w:tc>
        <w:tc>
          <w:tcPr>
            <w:tcW w:type="dxa" w:w="4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中轨在上方构成压力，下轨邻近近期低点。</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MACD（DIF/DEA/柱）</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-0.049/-0.09/0.082</w:t>
            </w:r>
          </w:p>
        </w:tc>
        <w:tc>
          <w:tcPr>
            <w:tcW w:type="dxa" w:w="4500"/>
            <w:tcMar>
              <w:top w:type="dxa" w:w="80"/>
              <w:left w:type="dxa" w:w="100"/>
              <w:bottom w:type="dxa" w:w="80"/>
              <w:right w:type="dxa" w:w="100"/>
            </w:tcMar>
            <w:vAlign w:val="center"/>
          </w:tcPr>
          <w:p>
            <w:pPr>
              <w:jc w:val="center"/>
            </w:pPr>
            <w:r>
              <w:rPr>
                <w:b w:val="false"/>
                <w:bCs w:val="false"/>
                <w:color w:val="000000"/>
                <w:sz w:val="20"/>
                <w:szCs w:val="20"/>
              </w:rPr>
              <w:t xml:space="preserve">柱值仍为正但较前日收窄，尚不足以确认反转。</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RSI（6/14）</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37.9/43.3</w:t>
            </w:r>
          </w:p>
        </w:tc>
        <w:tc>
          <w:tcPr>
            <w:tcW w:type="dxa" w:w="4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处于相对偏弱区间。</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近5/20日涨跌幅</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-6.37%/-4.34%</w:t>
            </w:r>
          </w:p>
        </w:tc>
        <w:tc>
          <w:tcPr>
            <w:tcW w:type="dxa" w:w="4500"/>
            <w:tcMar>
              <w:top w:type="dxa" w:w="80"/>
              <w:left w:type="dxa" w:w="100"/>
              <w:bottom w:type="dxa" w:w="80"/>
              <w:right w:type="dxa" w:w="100"/>
            </w:tcMar>
            <w:vAlign w:val="center"/>
          </w:tcPr>
          <w:p>
            <w:pPr>
              <w:jc w:val="center"/>
            </w:pPr>
            <w:r>
              <w:rPr>
                <w:b w:val="false"/>
                <w:bCs w:val="false"/>
                <w:color w:val="000000"/>
                <w:sz w:val="20"/>
                <w:szCs w:val="20"/>
              </w:rPr>
              <w:t xml:space="preserve">短期价格表现偏弱。</w:t>
            </w:r>
          </w:p>
        </w:tc>
      </w:tr>
    </w:tbl>
    <w:p>
      <w:pPr>
        <w:spacing w:before="200"/>
      </w:pPr>
    </w:p>
    <w:p>
      <w:pPr>
        <w:pStyle w:val="Heading2"/>
        <w:spacing w:after="120" w:before="240"/>
      </w:pPr>
      <w:r>
        <w:rPr>
          <w:b/>
          <w:bCs/>
          <w:color w:val="2E74B5"/>
          <w:sz w:val="24"/>
          <w:szCs w:val="24"/>
        </w:rPr>
        <w:t xml:space="preserve">8.2 关键价位</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5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14.0~14.7元</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布林中轨及均线密集区；放量站稳后可观察15.5元附近上轨。</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13.2~13.5元</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现价附近观察带；失守后关注12.83元近期及52周低点。</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12.5~12.9元</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包含12.83元低点及12.59元布林下轨；有效跌破12.5元将令支撑转弱。</w:t>
            </w:r>
          </w:p>
        </w:tc>
      </w:tr>
    </w:tbl>
    <w:p>
      <w:pPr>
        <w:spacing w:before="200"/>
      </w:pPr>
    </w:p>
    <w:p>
      <w:pPr>
        <w:pStyle w:val="Heading2"/>
        <w:spacing w:after="120" w:before="240"/>
      </w:pPr>
      <w:r>
        <w:rPr>
          <w:b/>
          <w:bCs/>
          <w:color w:val="2E74B5"/>
          <w:sz w:val="24"/>
          <w:szCs w:val="24"/>
        </w:rPr>
        <w:t xml:space="preserve">8.3 按历史波动率测算的一周区间</w:t>
      </w:r>
    </w:p>
    <w:p>
      <w:pPr>
        <w:spacing w:after="160" w:line="300"/>
      </w:pPr>
      <w:r>
        <w:rPr>
          <w:sz w:val="22"/>
          <w:szCs w:val="22"/>
        </w:rPr>
        <w:t xml:space="preserve">以2026-09-30价格13.67元为基准，用近300个交易日的收益分布（按当前指数加权日波动率约4.2%缩放，保留这只股票自身的大涨大跌频率）推算未来5个交易日的收盘价范围：</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200"/>
        <w:gridCol w:w="3700"/>
        <w:gridCol w:w="40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覆盖概率</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价格区间</w:t>
            </w:r>
          </w:p>
        </w:tc>
        <w:tc>
          <w:tcPr>
            <w:tcW w:type="dxa" w:w="4000"/>
            <w:shd w:fill="1F4E79" w:val="clear"/>
            <w:tcMar>
              <w:top w:type="dxa" w:w="80"/>
              <w:left w:type="dxa" w:w="100"/>
              <w:bottom w:type="dxa" w:w="80"/>
              <w:right w:type="dxa" w:w="100"/>
            </w:tcMar>
            <w:vAlign w:val="center"/>
          </w:tcPr>
          <w:p>
            <w:pPr>
              <w:jc w:val="center"/>
            </w:pPr>
            <w:r>
              <w:rPr>
                <w:b/>
                <w:bCs/>
                <w:color w:val="FFFFFF"/>
                <w:sz w:val="20"/>
                <w:szCs w:val="20"/>
              </w:rPr>
              <w:t xml:space="preserve">相对基准</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约68%</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12.4～15.17元</w:t>
            </w:r>
          </w:p>
        </w:tc>
        <w:tc>
          <w:tcPr>
            <w:tcW w:type="dxa" w:w="4000"/>
            <w:tcMar>
              <w:top w:type="dxa" w:w="80"/>
              <w:left w:type="dxa" w:w="100"/>
              <w:bottom w:type="dxa" w:w="80"/>
              <w:right w:type="dxa" w:w="100"/>
            </w:tcMar>
            <w:vAlign w:val="center"/>
          </w:tcPr>
          <w:p>
            <w:pPr>
              <w:jc w:val="center"/>
            </w:pPr>
            <w:r>
              <w:rPr>
                <w:b w:val="false"/>
                <w:bCs w:val="false"/>
                <w:color w:val="000000"/>
                <w:sz w:val="20"/>
                <w:szCs w:val="20"/>
              </w:rPr>
              <w:t xml:space="preserve">-9.3%～+11.0%</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约95%</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11.41～16.61元</w:t>
            </w:r>
          </w:p>
        </w:tc>
        <w:tc>
          <w:tcPr>
            <w:tcW w:type="dxa" w:w="4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-16.5%～+21.5%</w:t>
            </w:r>
          </w:p>
        </w:tc>
      </w:tr>
    </w:tbl>
    <w:p>
      <w:pPr>
        <w:spacing w:before="200"/>
      </w:pPr>
    </w:p>
    <w:p>
      <w:pPr>
        <w:spacing w:after="200"/>
      </w:pPr>
      <w:r>
        <w:rPr>
          <w:i/>
          <w:iCs/>
          <w:color w:val="595959"/>
          <w:sz w:val="18"/>
          <w:szCs w:val="18"/>
        </w:rPr>
        <w:t xml:space="preserve">该区间只反映这只股票近期的波动幅度，不含涨跌方向判断；遇到重大公告或大盘急跌，实际走势仍可能超出区间。</w:t>
      </w:r>
    </w:p>
    <w:p>
      <w:pPr>
        <w:pStyle w:val="Heading2"/>
        <w:spacing w:after="120" w:before="240"/>
      </w:pPr>
      <w:r>
        <w:rPr>
          <w:b/>
          <w:bCs/>
          <w:color w:val="2E74B5"/>
          <w:sz w:val="24"/>
          <w:szCs w:val="24"/>
        </w:rPr>
        <w:t xml:space="preserve">8.4 未来一周情景（主观权重，非统计概率）</w:t>
      </w:r>
    </w:p>
    <w:p>
      <w:pPr>
        <w:pStyle w:val="ListParagraph"/>
        <w:numPr>
          <w:ilvl w:val="0"/>
          <w:numId w:val="2"/>
        </w:numPr>
        <w:spacing w:after="80" w:line="280"/>
      </w:pPr>
      <w:r>
        <w:rPr>
          <w:b/>
          <w:bCs/>
          <w:sz w:val="22"/>
          <w:szCs w:val="22"/>
        </w:rPr>
        <w:t xml:space="preserve">震荡整理（相对权重较高，约五成）</w:t>
      </w:r>
      <w:r>
        <w:rPr>
          <w:sz w:val="22"/>
          <w:szCs w:val="22"/>
        </w:rPr>
        <w:t xml:space="preserve">：约12.8~14.1元；若12.8~13.2元支撑未有效跌破、且无显著利空，股价仍受14.0元附近压制，或延续整理。</w:t>
      </w:r>
    </w:p>
    <w:p>
      <w:pPr>
        <w:pStyle w:val="ListParagraph"/>
        <w:numPr>
          <w:ilvl w:val="0"/>
          <w:numId w:val="2"/>
        </w:numPr>
        <w:spacing w:after="80" w:line="280"/>
      </w:pPr>
      <w:r>
        <w:rPr>
          <w:b/>
          <w:bCs/>
          <w:sz w:val="22"/>
          <w:szCs w:val="22"/>
        </w:rPr>
        <w:t xml:space="preserve">偏弱下行（权重中等，约三成）</w:t>
      </w:r>
      <w:r>
        <w:rPr>
          <w:sz w:val="22"/>
          <w:szCs w:val="22"/>
        </w:rPr>
        <w:t xml:space="preserve">：约12.5~12.8元；若收盘有效跌破12.8元且成交额放大、资金流出延续，可能下探布林下轨附近。</w:t>
      </w:r>
    </w:p>
    <w:p>
      <w:pPr>
        <w:pStyle w:val="ListParagraph"/>
        <w:numPr>
          <w:ilvl w:val="0"/>
          <w:numId w:val="2"/>
        </w:numPr>
        <w:spacing w:after="80" w:line="280"/>
      </w:pPr>
      <w:r>
        <w:rPr>
          <w:b/>
          <w:bCs/>
          <w:sz w:val="22"/>
          <w:szCs w:val="22"/>
        </w:rPr>
        <w:t xml:space="preserve">反弹走强（权重偏低，约两成）</w:t>
      </w:r>
      <w:r>
        <w:rPr>
          <w:sz w:val="22"/>
          <w:szCs w:val="22"/>
        </w:rPr>
        <w:t xml:space="preserve">：约14.5~15.5元；若收复14.06元并站上14.5~14.7元均线区，且板块走强或出现有效催化，反弹条件改善。</w:t>
      </w:r>
    </w:p>
    <w:p>
      <w:pPr>
        <w:pStyle w:val="Heading2"/>
        <w:spacing w:after="120" w:before="240"/>
      </w:pPr>
      <w:r>
        <w:rPr>
          <w:b/>
          <w:bCs/>
          <w:color w:val="2E74B5"/>
          <w:sz w:val="24"/>
          <w:szCs w:val="24"/>
        </w:rPr>
        <w:t xml:space="preserve">8.5 资金与流动性</w:t>
      </w:r>
    </w:p>
    <w:p>
      <w:pPr>
        <w:spacing w:after="160" w:line="300"/>
      </w:pPr>
      <w:r>
        <w:rPr>
          <w:sz w:val="22"/>
          <w:szCs w:val="22"/>
        </w:rPr>
        <w:t xml:space="preserve">9月30日换手率1.73%、成交额约3.34亿元；近期日成交额约1.41亿~8.57亿元，9月28日显著放量。截至2026年6月30日，前十大股东合计持股65.84%，以控股股东及相关自然人为主；名单未列公募或社保，供应商统计基金持仓占流通股3.59%，该数据非实时且股东结构可能已变化。成交活跃度有波动，交易时需关注盘口深度与滑点。</w:t>
      </w:r>
    </w:p>
    <w:p>
      <w:pPr>
        <w:spacing w:after="160" w:line="300"/>
      </w:pPr>
      <w:r>
        <w:rPr>
          <w:sz w:val="22"/>
          <w:szCs w:val="22"/>
        </w:rPr>
        <w:t xml:space="preserve">若收复14.06元并向14.5元推进，单日成交额达到约4.5亿元以上且非冲高回落，可作为资金参与增强的观察信号。</w:t>
      </w:r>
    </w:p>
    <w:p>
      <w:pPr>
        <w:spacing w:after="200"/>
      </w:pPr>
      <w:r>
        <w:rPr>
          <w:i/>
          <w:iCs/>
          <w:color w:val="595959"/>
          <w:sz w:val="18"/>
          <w:szCs w:val="18"/>
        </w:rPr>
        <w:t xml:space="preserve">以上情景推演基于2026年9月30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三星电气(601567)公司资料_新浪财经_新浪网 — https://vip.stock.finance.sina.com.cn/corp/go.php/vCI_CorpInfo/stockid/601567.phtml</w:t>
      </w:r>
    </w:p>
    <w:p>
      <w:pPr>
        <w:spacing w:after="200"/>
      </w:pPr>
      <w:r>
        <w:rPr>
          <w:i/>
          <w:iCs/>
          <w:color w:val="595959"/>
          <w:sz w:val="18"/>
          <w:szCs w:val="18"/>
        </w:rPr>
        <w:t xml:space="preserve">三星电气(601567)_公司公告_三星电气：2025年年度报告新浪财经_新浪网 — https://money.finance.sina.com.cn/corp/view/vCB_AllBulletinDetail.php?id=12179966&amp;stockid=601567</w:t>
      </w:r>
    </w:p>
    <w:p>
      <w:pPr>
        <w:spacing w:after="200"/>
      </w:pPr>
      <w:r>
        <w:rPr>
          <w:i/>
          <w:iCs/>
          <w:color w:val="595959"/>
          <w:sz w:val="18"/>
          <w:szCs w:val="18"/>
        </w:rPr>
        <w:t xml:space="preserve">公司公告_三星医疗：2024年年度报告新浪财经_新浪网 — https://vip.stock.finance.sina.com.cn/corp/view/vCB_AllBulletinDetail.php?id=10958462</w:t>
      </w:r>
    </w:p>
    <w:p>
      <w:pPr>
        <w:spacing w:after="200"/>
      </w:pPr>
      <w:r>
        <w:rPr>
          <w:i/>
          <w:iCs/>
          <w:color w:val="595959"/>
          <w:sz w:val="18"/>
          <w:szCs w:val="18"/>
        </w:rPr>
        <w:t xml:space="preserve">三星医疗(601567) - 基本面研究报告 - 爱股网 — https://www.iguuu.com/stock/601567/report</w:t>
      </w:r>
    </w:p>
    <w:p>
      <w:pPr>
        <w:spacing w:after="200"/>
      </w:pPr>
      <w:r>
        <w:rPr>
          <w:i/>
          <w:iCs/>
          <w:color w:val="595959"/>
          <w:sz w:val="18"/>
          <w:szCs w:val="18"/>
        </w:rPr>
        <w:t xml:space="preserve">海兴电力(603556)_公司公告_海兴电力：2025年年度报告新浪财经_新浪网 — https://money.finance.sina.com.cn/corp/view/vCB_AllBulletinDetail.php?id=12124276&amp;stockid=603556</w:t>
      </w:r>
    </w:p>
    <w:p>
      <w:pPr>
        <w:spacing w:after="200"/>
      </w:pPr>
      <w:r>
        <w:rPr>
          <w:i/>
          <w:iCs/>
          <w:color w:val="595959"/>
          <w:sz w:val="18"/>
          <w:szCs w:val="18"/>
        </w:rPr>
        <w:t xml:space="preserve">林洋能源(601222)_公司公告_林洋能源：2025年年度报告新浪财经_新浪网 — https://money.finance.sina.com.cn/corp/view/vCB_AllBulletinDetail.php?id=12284181&amp;stockid=601222</w:t>
      </w:r>
    </w:p>
    <w:p>
      <w:pPr>
        <w:spacing w:after="200"/>
      </w:pPr>
      <w:r>
        <w:rPr>
          <w:i/>
          <w:iCs/>
          <w:color w:val="595959"/>
          <w:sz w:val="18"/>
          <w:szCs w:val="18"/>
        </w:rPr>
        <w:t xml:space="preserve">炬华科技(300360)_公司公告_炬华科技：2025年年度报告新浪财经_新浪网 — https://money.finance.sina.com.cn/corp/view/vCB_AllBulletinDetail.php?id=12221732&amp;stockid=300360</w:t>
      </w:r>
    </w:p>
    <w:p>
      <w:pPr>
        <w:spacing w:after="200"/>
      </w:pPr>
      <w:r>
        <w:rPr>
          <w:i/>
          <w:iCs/>
          <w:color w:val="595959"/>
          <w:sz w:val="18"/>
          <w:szCs w:val="18"/>
        </w:rPr>
        <w:t xml:space="preserve">三星电气(601567)_公司公告_三星电气：2026年半年度报告摘要新浪财经_新浪网 — https://vip.stock.finance.sina.com.cn/corp/view/vCB_AllBulletinDetail.php?id=12575127&amp;stockid=601567</w:t>
      </w:r>
    </w:p>
    <w:p>
      <w:pPr>
        <w:spacing w:after="200"/>
      </w:pPr>
      <w:r>
        <w:rPr>
          <w:i/>
          <w:iCs/>
          <w:color w:val="595959"/>
          <w:sz w:val="18"/>
          <w:szCs w:val="18"/>
        </w:rPr>
        <w:t xml:space="preserve">三星电气(601567)_公司公告_三星电气：2026年半年度业绩预告新浪财经_新浪网 — https://vip.stock.finance.sina.com.cn/corp/view/vCB_AllBulletinDetail.php?id=12439341&amp;stockid=601567</w:t>
      </w:r>
    </w:p>
    <w:p>
      <w:pPr>
        <w:spacing w:after="200"/>
      </w:pPr>
      <w:r>
        <w:rPr>
          <w:i/>
          <w:iCs/>
          <w:color w:val="595959"/>
          <w:sz w:val="18"/>
          <w:szCs w:val="18"/>
        </w:rPr>
        <w:t xml:space="preserve">三星电气(601567)_公司公告_三星电气：2026年半年度报告新浪财经_新浪网 — https://vip.stock.finance.sina.com.cn/corp/view/vCB_AllBulletinDetail.php?id=12575130&amp;stockid=601567</w:t>
      </w:r>
    </w:p>
    <w:p>
      <w:pPr>
        <w:spacing w:after="200"/>
      </w:pPr>
      <w:r>
        <w:rPr>
          <w:i/>
          <w:iCs/>
          <w:color w:val="595959"/>
          <w:sz w:val="18"/>
          <w:szCs w:val="18"/>
        </w:rPr>
        <w:t xml:space="preserve">三星电气（601567）9月29日主力资金净卖出2295.99万元_主力研究_股票_证券之星 — https://wap.stockstar.com/detail/RB2026093000006632</w:t>
      </w:r>
    </w:p>
    <w:p>
      <w:pPr>
        <w:spacing w:after="200"/>
      </w:pPr>
      <w:r>
        <w:rPr>
          <w:i/>
          <w:iCs/>
          <w:color w:val="595959"/>
          <w:sz w:val="18"/>
          <w:szCs w:val="18"/>
        </w:rPr>
        <w:t xml:space="preserve">三星电气(601567)市盈率|估值|基本面 - 理杏仁 — https://www.lixinger.com/equity/company/detail/sh/601567/601567/fundamental/valuation/pe-ttm</w:t>
      </w:r>
    </w:p>
    <w:p>
      <w:pPr>
        <w:spacing w:after="200"/>
      </w:pPr>
      <w:r>
        <w:rPr>
          <w:i/>
          <w:iCs/>
          <w:color w:val="595959"/>
          <w:sz w:val="18"/>
          <w:szCs w:val="18"/>
        </w:rPr>
        <w:t xml:space="preserve">三星电气(601567)市净率|估值|基本面 - 理杏仁 — https://www.lixinger.com/equity/company/detail/sh/601567/601567/fundamental/valuation/pb</w:t>
      </w:r>
    </w:p>
    <w:p>
      <w:pPr>
        <w:spacing w:after="200"/>
      </w:pPr>
      <w:r>
        <w:rPr>
          <w:i/>
          <w:iCs/>
          <w:color w:val="595959"/>
          <w:sz w:val="18"/>
          <w:szCs w:val="18"/>
        </w:rPr>
        <w:t xml:space="preserve">F10 - 电气设备板块 - 宽度指数|Sector Market Breadth Index — https://f10.org/sector/electrical_equipment/</w:t>
      </w:r>
    </w:p>
    <w:p>
      <w:pPr>
        <w:spacing w:after="200"/>
      </w:pPr>
      <w:r>
        <w:rPr>
          <w:i/>
          <w:iCs/>
          <w:color w:val="595959"/>
          <w:sz w:val="18"/>
          <w:szCs w:val="18"/>
        </w:rPr>
        <w:t xml:space="preserve">三星电气(601567) 盈利预测_F10_同花顺金融服务网 — https://basic.10jqka.com.cn/601567/worth.html</w:t>
      </w:r>
    </w:p>
    <w:p>
      <w:pPr>
        <w:spacing w:after="200"/>
      </w:pPr>
      <w:r>
        <w:rPr>
          <w:i/>
          <w:iCs/>
          <w:color w:val="595959"/>
          <w:sz w:val="18"/>
          <w:szCs w:val="18"/>
        </w:rPr>
        <w:t xml:space="preserve">三星电气(601567)_公司公告_三星电气：2026年半年度报告新浪财经_新浪网 — https://money.finance.sina.com.cn/corp/view/vCB_AllBulletinDetail.php?id=12575130&amp;stockid=601567</w:t>
      </w:r>
    </w:p>
    <w:p>
      <w:pPr>
        <w:spacing w:after="200"/>
      </w:pPr>
      <w:r>
        <w:rPr>
          <w:i/>
          <w:iCs/>
          <w:color w:val="595959"/>
          <w:sz w:val="18"/>
          <w:szCs w:val="18"/>
        </w:rPr>
        <w:t xml:space="preserve">三星电气(601567)_公司公告_三星电气：关于子公司签订海外经营合同的公告新浪财经_新浪网 — https://vip.stock.finance.sina.com.cn/corp/view/vCB_AllBulletinDetail.php?id=12480266&amp;stockid=601567</w:t>
      </w:r>
    </w:p>
    <w:p>
      <w:pPr>
        <w:spacing w:after="200"/>
      </w:pPr>
      <w:r>
        <w:rPr>
          <w:i/>
          <w:iCs/>
          <w:color w:val="595959"/>
          <w:sz w:val="18"/>
          <w:szCs w:val="18"/>
        </w:rPr>
        <w:t xml:space="preserve">三星电气(601567)_公司公告_三星电气：关于子公司经营合同预中标的提示性公告新浪财经_新浪网 — https://vip.stock.finance.sina.com.cn/corp/view/vCB_AllBulletinDetail.php?id=12497912&amp;stockid=601567</w:t>
      </w:r>
    </w:p>
    <w:p>
      <w:pPr>
        <w:spacing w:after="200"/>
      </w:pPr>
      <w:r>
        <w:rPr>
          <w:i/>
          <w:iCs/>
          <w:color w:val="595959"/>
          <w:sz w:val="18"/>
          <w:szCs w:val="18"/>
        </w:rPr>
        <w:t xml:space="preserve">三星电气(601567)_公司公告_三星电气：关于子公司签订海外经营合同的公告新浪财经_新浪网 — https://vip.stock.finance.sina.com.cn/corp/view/vCB_AllBulletinDetail.php?id=12618327&amp;stockid=601567</w:t>
      </w:r>
    </w:p>
    <w:p>
      <w:pPr>
        <w:spacing w:after="200"/>
      </w:pPr>
      <w:r>
        <w:rPr>
          <w:i/>
          <w:iCs/>
          <w:color w:val="595959"/>
          <w:sz w:val="18"/>
          <w:szCs w:val="18"/>
        </w:rPr>
        <w:t xml:space="preserve">宁波三星医疗电气股份有限公司2026年半年度报告摘要|上海证券报 — https://paper.cnstock.com/html/2026-08/31/content_2263372.htm</w:t>
      </w:r>
    </w:p>
    <w:p>
      <w:pPr>
        <w:spacing w:after="200"/>
      </w:pPr>
      <w:r>
        <w:rPr>
          <w:i/>
          <w:iCs/>
          <w:color w:val="595959"/>
          <w:sz w:val="18"/>
          <w:szCs w:val="18"/>
        </w:rPr>
        <w:t xml:space="preserve">宁波三星医疗电气股份有限公司关于向香港联交所递交H股发行上市的申请并刊发申请资料的公告|上海证券报 — https://paper.cnstock.com/html/2026-06/15/content_2231380.htm</w:t>
      </w:r>
    </w:p>
    <w:p>
      <w:pPr>
        <w:spacing w:after="200"/>
      </w:pPr>
      <w:r>
        <w:rPr>
          <w:i/>
          <w:iCs/>
          <w:color w:val="595959"/>
          <w:sz w:val="18"/>
          <w:szCs w:val="18"/>
        </w:rPr>
        <w:t xml:space="preserve">三星电气(601567)_公司公告_三星电气：关于董事、总裁辞职暨补选董事、聘任总裁的公告新浪财经_新浪网 — https://vip.stock.finance.sina.com.cn/corp/view/vCB_AllBulletinDetail.php?id=12453367&amp;stockid=601567</w:t>
      </w:r>
    </w:p>
    <w:p>
      <w:pPr>
        <w:spacing w:after="200"/>
      </w:pPr>
      <w:r>
        <w:rPr>
          <w:i/>
          <w:iCs/>
          <w:color w:val="595959"/>
          <w:sz w:val="18"/>
          <w:szCs w:val="18"/>
        </w:rPr>
        <w:t xml:space="preserve">三星电气(601567)_公司公告_三星电气：关于为子公司提供担保的进展公告新浪财经_新浪网 — https://vip.stock.finance.sina.com.cn/corp/view/vCB_AllBulletinDetail.php?id=12612844&amp;stockid=601567</w:t>
      </w:r>
    </w:p>
    <w:p>
      <w:pPr>
        <w:spacing w:after="200"/>
      </w:pPr>
      <w:r>
        <w:rPr>
          <w:i/>
          <w:iCs/>
          <w:color w:val="595959"/>
          <w:sz w:val="18"/>
          <w:szCs w:val="18"/>
        </w:rPr>
        <w:t xml:space="preserve">宁波三星医疗电气股份有限公司关于变更公司证券简称实施公告|上海证券报 — https://paper.cnstock.com/html/2026-04/09/content_2197796.htm</w:t>
      </w:r>
    </w:p>
    <w:p>
      <w:pPr>
        <w:spacing w:after="200"/>
      </w:pPr>
      <w:r>
        <w:rPr>
          <w:i/>
          <w:iCs/>
          <w:color w:val="595959"/>
          <w:sz w:val="18"/>
          <w:szCs w:val="18"/>
        </w:rPr>
        <w:t xml:space="preserve">三星电气(601567)_资金流向_证券之星 — https://stock.quote.stockstar.com/capital_601567.shtml</w:t>
      </w:r>
    </w:p>
    <w:p>
      <w:pPr>
        <w:spacing w:after="200"/>
      </w:pPr>
      <w:r>
        <w:rPr>
          <w:i/>
          <w:iCs/>
          <w:color w:val="595959"/>
          <w:sz w:val="18"/>
          <w:szCs w:val="18"/>
        </w:rPr>
        <w:t xml:space="preserve">三星电气(601567)_历史上榜数据 — https://quote.cfi.cn/cfi_lhb_stock.aspx?stockcode=601567</w:t>
      </w:r>
    </w:p>
    <w:p>
      <w:pPr>
        <w:spacing w:after="200"/>
      </w:pPr>
      <w:r>
        <w:rPr>
          <w:i/>
          <w:iCs/>
          <w:color w:val="595959"/>
          <w:sz w:val="18"/>
          <w:szCs w:val="18"/>
        </w:rPr>
        <w:t xml:space="preserve">三星电气(601567)-机构持仓 — https://basic.10jqka.com.cn/mobile/601567/positionn.html</w:t>
      </w:r>
    </w:p>
    <w:p>
      <w:pPr>
        <w:spacing w:after="200"/>
      </w:pPr>
      <w:r>
        <w:rPr>
          <w:i/>
          <w:iCs/>
          <w:color w:val="595959"/>
          <w:sz w:val="18"/>
          <w:szCs w:val="18"/>
        </w:rPr>
        <w:t xml:space="preserve">宁波三星医疗电气股份有限公司关于子公司签订海外经营合同的公告_新浪财经_新浪网 — https://finance.sina.com.cn/roll/2026-09-24/doc-inisvytr8430691.shtml</w:t>
      </w:r>
    </w:p>
    <w:p>
      <w:pPr>
        <w:spacing w:after="200"/>
      </w:pPr>
      <w:r>
        <w:rPr>
          <w:i/>
          <w:iCs/>
          <w:color w:val="595959"/>
          <w:sz w:val="18"/>
          <w:szCs w:val="18"/>
        </w:rPr>
        <w:t xml:space="preserve">三星电气(601567)_公司公告_三星电气：关于全资子公司完成工商变更登记的公告新浪财经_新浪网 — https://vip.stock.finance.sina.com.cn/corp/view/vCB_AllBulletinDetail.php?id=12628928&amp;stockid=601567</w:t>
      </w:r>
    </w:p>
    <w:p>
      <w:pPr>
        <w:spacing w:after="200"/>
      </w:pPr>
      <w:r>
        <w:rPr>
          <w:i/>
          <w:iCs/>
          <w:color w:val="595959"/>
          <w:sz w:val="18"/>
          <w:szCs w:val="18"/>
        </w:rPr>
        <w:t xml:space="preserve">关于2026年中秋节、国庆节休市安排的通知 — https://www.sse.org.cn/disclosure/notice/general/t20260917_622911.html</w:t>
      </w:r>
    </w:p>
    <w:p>
      <w:pPr>
        <w:spacing w:after="200"/>
      </w:pPr>
      <w:r>
        <w:rPr>
          <w:i/>
          <w:iCs/>
          <w:color w:val="595959"/>
          <w:sz w:val="18"/>
          <w:szCs w:val="18"/>
        </w:rPr>
        <w:t xml:space="preserve">本报告由AI基于公开渠道信息自动检索、整理并生成，信息截至 行情截至2026年9月30日收盘；展望期为10月8日至14日，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2026-10-01T11:23:40.154Z</dcterms:created>
  <dcterms:modified xsi:type="dcterms:W3CDTF">2026-10-01T11:23:40.154Z</dcterms:modified>
</cp:coreProperties>
</file>

<file path=docProps/custom.xml><?xml version="1.0" encoding="utf-8"?>
<Properties xmlns="http://schemas.openxmlformats.org/officeDocument/2006/custom-properties" xmlns:vt="http://schemas.openxmlformats.org/officeDocument/2006/docPropsVTypes"/>
</file>