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中国外运股份有限公司 (601598)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行业：综合物流、国际货运代理与供应链服务</w:t>
      </w:r>
    </w:p>
    <w:p>
      <w:pPr>
        <w:jc w:val="center"/>
      </w:pPr>
      <w:r>
        <w:rPr>
          <w:color w:val="595959"/>
          <w:sz w:val="22"/>
          <w:szCs w:val="22"/>
        </w:rPr>
        <w:t xml:space="preserve">报告日期：2026年9月13日</w:t>
      </w:r>
    </w:p>
    <w:p>
      <w:pPr>
        <w:jc w:val="center"/>
      </w:pPr>
      <w:r>
        <w:rPr>
          <w:color w:val="595959"/>
          <w:sz w:val="20"/>
          <w:szCs w:val="20"/>
        </w:rPr>
        <w:t xml:space="preserve">数据截至2026年9月11日收盘；部分技术指标及资金流向数据的最新可核实日期分别为2026年9月10日前后和2026年9月4日前后，股东结构数据截至2026年6月30日。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国外运2026年上半年实现营业收入464.52亿元，同比下降8.06%；归母净利润17.25亿元，同比下降11.40%，但扣除非经常性损益后的归母净利润为16.40亿元，同比增长17.33%，显示核心经营盈利能力有所改善。同期经营活动产生的现金流量净额为-8.58亿元，收入和归母利润承压与经营质量改善并存，需区分经常性与非经常性收益影响。</w:t>
      </w:r>
    </w:p>
    <w:p>
      <w:pPr>
        <w:spacing w:after="160" w:line="300"/>
      </w:pPr>
      <w:r>
        <w:rPr>
          <w:sz w:val="22"/>
          <w:szCs w:val="22"/>
        </w:rPr>
        <w:t xml:space="preserve">公司业务结构以代理及相关业务和专业物流为主。2026年上半年代理及相关业务收入299.37亿元、分部利润14.34亿元，分别同比增长1.04%和18.04%；专业物流收入144.22亿元、分部利润3.60亿元，分别同比增长0.69%和13.25%。公司通过内部协同、通道产品、订舱集采、固定运力配置调整及退出部分低效业务改善板块盈利，但电商业务收入仅20.92亿元，同比下降68.16%，分部利润下降14.53%，仍处于明显收缩调整阶段。</w:t>
      </w:r>
    </w:p>
    <w:p>
      <w:pPr>
        <w:spacing w:after="160" w:line="300"/>
      </w:pPr>
      <w:r>
        <w:rPr>
          <w:sz w:val="22"/>
          <w:szCs w:val="22"/>
        </w:rPr>
        <w:t xml:space="preserve">公司拥有覆盖国内32个省、自治区、直辖市及特别行政区的资源网络，并覆盖45个国家和地区、拥有72家自有海外机构，差异化优势主要来自综合货代、港口及船舶代理、铁路代理、仓储和制造业供应链服务。2025年公司营业收入968.09亿元，同比下降8.34%，归母净利润40.22亿元，同比增长2.66%，但扣非归母净利润同比下降46.95%，且代理及相关业务、电商业务2025年分部利润分别下降17.41%和87.65%，利润增长的可持续性仍需观察。</w:t>
      </w:r>
    </w:p>
    <w:p>
      <w:pPr>
        <w:spacing w:after="160" w:line="300"/>
      </w:pPr>
      <w:r>
        <w:rPr>
          <w:sz w:val="22"/>
          <w:szCs w:val="22"/>
        </w:rPr>
        <w:t xml:space="preserve">截至2026年9月11日，公司股价为6.51元，动态市盈率约12.29倍、市净率约1.06倍，近期低于MA5、MA10和MA20，短期呈弱势震荡，6.56至6.60元为均线及震荡中枢压力区，6.38至6.43元为近期支撑区。公司拟派发2026年中期现金股息每股0.14元，预计股息总额约10.04亿元；但当前成交活跃度偏低，换手率约0.22%，技术面尚未形成明确持续上行动能。</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公司简称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中国外运</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最终控制人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国务院国资委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控股链条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国务院国资委—招商局集团有限公司—中国外运长航集团有限公司—中国外运股份有限公司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核心定位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综合性第三方物流企业，为制造业、贸易企业、工程承包商及跨境电商客户提供国际货运代理、专业物流、仓储、港口及供应链管理服务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主要数据期间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主要采用2025年年度报告及2024年年度报告数据；2025年业务和财务数据主要截至2025年12月31日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968.09亿元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2025年归母净利润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40.22亿元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国内资源网络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覆盖全国32个省、自治区、直辖市及特别行政区；拥有约1,400万平方米土地资源、480余万平方米仓库、约240万平方米集装箱场站、11个内河码头及约4,400米岸线资源</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海外资源网络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覆盖45个国家和地区，拥有72家自有机构</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专业物流：包括合同物流、项目物流和化工物流。合同物流覆盖采购物流、生产物流、销售物流、逆向物流、仓储配送、供应链优化及供应链金融；项目物流服务电力能源、石油化工、冶金矿业、基础设施、轨道车辆等工程行业；化工物流覆盖危险品及普通包装化工品仓储、运输配送、国际货代、多式联运、保税和液体罐箱运输。</w:t>
      </w:r>
    </w:p>
    <w:p>
      <w:pPr>
        <w:pStyle w:val="ListParagraph"/>
        <w:numPr>
          <w:ilvl w:val="0"/>
          <w:numId w:val="2"/>
        </w:numPr>
        <w:spacing w:after="80" w:line="280"/>
      </w:pPr>
      <w:r>
        <w:rPr>
          <w:sz w:val="22"/>
          <w:szCs w:val="22"/>
        </w:rPr>
        <w:t xml:space="preserve">代理及相关业务：包括海运代理、空运代理、铁路代理、船舶代理和库场站服务，覆盖订舱、提箱、装箱、仓储、集疏港、报关报检、分拨配送及国际铁路通道等环节。</w:t>
      </w:r>
    </w:p>
    <w:p>
      <w:pPr>
        <w:pStyle w:val="ListParagraph"/>
        <w:numPr>
          <w:ilvl w:val="0"/>
          <w:numId w:val="2"/>
        </w:numPr>
        <w:spacing w:after="80" w:line="280"/>
      </w:pPr>
      <w:r>
        <w:rPr>
          <w:sz w:val="22"/>
          <w:szCs w:val="22"/>
        </w:rPr>
        <w:t xml:space="preserve">电商业务：包括跨境电商物流、物流电商平台和物流装备共享平台，覆盖B2C电商小包、B2B空运头程、国内及保税仓储、清关、海外仓和末端配送等服务。</w:t>
      </w:r>
    </w:p>
    <w:p>
      <w:pPr>
        <w:pStyle w:val="ListParagraph"/>
        <w:numPr>
          <w:ilvl w:val="0"/>
          <w:numId w:val="2"/>
        </w:numPr>
        <w:spacing w:after="80" w:line="280"/>
      </w:pPr>
      <w:r>
        <w:rPr>
          <w:sz w:val="22"/>
          <w:szCs w:val="22"/>
        </w:rPr>
        <w:t xml:space="preserve">2025年三大板块对外营业额：专业物流293.70亿元，占营业收入约30.3%；代理及相关业务570.10亿元，占约58.9%；电商业务104.29亿元，占约10.8%。</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中国外运处于国际贸易物流链条中游，是综合货代与供应链服务商，通过整合海运、空运、铁路、仓储、港口、关务及海外节点资源，为制造业、贸易企业、工程客户和跨境电商客户提供综合物流服务。公司不是上游船公司或航空公司，也不是纯下游快递平台。</w:t>
      </w:r>
    </w:p>
    <w:p>
      <w:pPr>
        <w:pStyle w:val="ListParagraph"/>
        <w:numPr>
          <w:ilvl w:val="0"/>
          <w:numId w:val="2"/>
        </w:numPr>
        <w:spacing w:after="80" w:line="280"/>
      </w:pPr>
      <w:r>
        <w:rPr>
          <w:sz w:val="22"/>
          <w:szCs w:val="22"/>
        </w:rPr>
        <w:t xml:space="preserve">主要采购的不是传统工业原材料，而是物流服务资源，包括国际船公司的集装箱舱位、船期和海运运力，航空公司及包机资源提供的航空货运舱位，铁路班列、卡车、驳船及内河运输运力。</w:t>
      </w:r>
    </w:p>
    <w:p>
      <w:pPr>
        <w:pStyle w:val="ListParagraph"/>
        <w:numPr>
          <w:ilvl w:val="0"/>
          <w:numId w:val="2"/>
        </w:numPr>
        <w:spacing w:after="80" w:line="280"/>
      </w:pPr>
      <w:r>
        <w:rPr>
          <w:sz w:val="22"/>
          <w:szCs w:val="22"/>
        </w:rPr>
        <w:t xml:space="preserve">其他上游资源包括港口、码头、堆场、仓库和海外仓，以及报关、清关、装卸、包装、末端配送等外协服务；同时采购物流设备、信息系统、自动化仓储和数字化服务。</w:t>
      </w:r>
    </w:p>
    <w:p>
      <w:pPr>
        <w:pStyle w:val="ListParagraph"/>
        <w:numPr>
          <w:ilvl w:val="0"/>
          <w:numId w:val="2"/>
        </w:numPr>
        <w:spacing w:after="80" w:line="280"/>
      </w:pPr>
      <w:r>
        <w:rPr>
          <w:sz w:val="22"/>
          <w:szCs w:val="22"/>
        </w:rPr>
        <w:t xml:space="preserve">2025年年报披露，采购内部仓库资源占比已超过60%，同比提升29个百分点，反映公司在仓储资源集约化方面有所加强。</w:t>
      </w:r>
    </w:p>
    <w:p>
      <w:pPr>
        <w:pStyle w:val="ListParagraph"/>
        <w:numPr>
          <w:ilvl w:val="0"/>
          <w:numId w:val="2"/>
        </w:numPr>
        <w:spacing w:after="80" w:line="280"/>
      </w:pPr>
      <w:r>
        <w:rPr>
          <w:sz w:val="22"/>
          <w:szCs w:val="22"/>
        </w:rPr>
        <w:t xml:space="preserve">海运代理具备较大箱量规模和长期客户资源，可通过集中采购、包舱和运力合作增强资源获取能力，但仍受全球船公司运力供给和海运价格周期影响，整体并非对上游成本拥有完全定价权。</w:t>
      </w:r>
    </w:p>
    <w:p>
      <w:pPr>
        <w:pStyle w:val="ListParagraph"/>
        <w:numPr>
          <w:ilvl w:val="0"/>
          <w:numId w:val="2"/>
        </w:numPr>
        <w:spacing w:after="80" w:line="280"/>
      </w:pPr>
      <w:r>
        <w:rPr>
          <w:sz w:val="22"/>
          <w:szCs w:val="22"/>
        </w:rPr>
        <w:t xml:space="preserve">空运运力集中度较高，部分航线运力由航空公司和大型电商平台掌握，公司对上游舱位的控制力相对弱于海运规模优势。2024年年报曾指出，电商平台已掌握超过50%的航空货运运力。</w:t>
      </w:r>
    </w:p>
    <w:p>
      <w:pPr>
        <w:pStyle w:val="ListParagraph"/>
        <w:numPr>
          <w:ilvl w:val="0"/>
          <w:numId w:val="2"/>
        </w:numPr>
        <w:spacing w:after="80" w:line="280"/>
      </w:pPr>
      <w:r>
        <w:rPr>
          <w:sz w:val="22"/>
          <w:szCs w:val="22"/>
        </w:rPr>
        <w:t xml:space="preserve">仓储和陆运方面，公司自有仓库、场站、码头和海外节点能够降低部分外协依赖，但仓储租金、车辆、人工和运输资源价格仍会影响专业物流利润率。</w:t>
      </w:r>
    </w:p>
    <w:p>
      <w:pPr>
        <w:pStyle w:val="ListParagraph"/>
        <w:numPr>
          <w:ilvl w:val="0"/>
          <w:numId w:val="2"/>
        </w:numPr>
        <w:spacing w:after="80" w:line="280"/>
      </w:pPr>
      <w:r>
        <w:rPr>
          <w:sz w:val="22"/>
          <w:szCs w:val="22"/>
        </w:rPr>
        <w:t xml:space="preserve">供应商集中度：研究纪要未提供前五大供应商采购金额或占比，无法据此判断供应商集中度。</w:t>
      </w:r>
    </w:p>
    <w:p>
      <w:pPr>
        <w:pStyle w:val="ListParagraph"/>
        <w:numPr>
          <w:ilvl w:val="0"/>
          <w:numId w:val="2"/>
        </w:numPr>
        <w:spacing w:after="80" w:line="280"/>
      </w:pPr>
      <w:r>
        <w:rPr>
          <w:sz w:val="22"/>
          <w:szCs w:val="22"/>
        </w:rPr>
        <w:t xml:space="preserve">下游客户包括消费品、汽车及新能源、科技电子、医疗健康和工业品制造商，电力能源、石油化工、冶金矿业和基础设施工程承包商，进出口贸易商及跨国公司，以及跨境电商平台、电商卖家和品牌出海企业。</w:t>
      </w:r>
    </w:p>
    <w:p>
      <w:pPr>
        <w:pStyle w:val="ListParagraph"/>
        <w:numPr>
          <w:ilvl w:val="0"/>
          <w:numId w:val="2"/>
        </w:numPr>
        <w:spacing w:after="80" w:line="280"/>
      </w:pPr>
      <w:r>
        <w:rPr>
          <w:sz w:val="22"/>
          <w:szCs w:val="22"/>
        </w:rPr>
        <w:t xml:space="preserve">公司2024年年报披露，前五大客户销售额合计约90.36亿元，占营业收入8.56%；单一最大客户销售额约24.83亿元，占2.35%。该数据为2024年口径。</w:t>
      </w:r>
    </w:p>
    <w:p>
      <w:pPr>
        <w:pStyle w:val="ListParagraph"/>
        <w:numPr>
          <w:ilvl w:val="0"/>
          <w:numId w:val="2"/>
        </w:numPr>
        <w:spacing w:after="80" w:line="280"/>
      </w:pPr>
      <w:r>
        <w:rPr>
          <w:sz w:val="22"/>
          <w:szCs w:val="22"/>
        </w:rPr>
        <w:t xml:space="preserve">2025年年报相关第三方整理数据显示，前五大客户销售额约62.26亿元，占营业收入6.43%；但该页面存在报告期展示口径问题，数据来源单一且未能与公司年报原始附注交叉核实，具体应以公司最新年报为准。</w:t>
      </w:r>
    </w:p>
    <w:p>
      <w:pPr>
        <w:pStyle w:val="ListParagraph"/>
        <w:numPr>
          <w:ilvl w:val="0"/>
          <w:numId w:val="2"/>
        </w:numPr>
        <w:spacing w:after="80" w:line="280"/>
      </w:pPr>
      <w:r>
        <w:rPr>
          <w:sz w:val="22"/>
          <w:szCs w:val="22"/>
        </w:rPr>
        <w:t xml:space="preserve">从已披露数据看，公司客户较为分散，未形成对单一客户的明显依赖；但大型制造商、跨国公司和电商平台通常通过年度招标、集中采购、长期合同和价格谈判压低物流服务价格，下游整体议价能力偏强。</w:t>
      </w:r>
    </w:p>
    <w:p>
      <w:pPr>
        <w:pStyle w:val="ListParagraph"/>
        <w:numPr>
          <w:ilvl w:val="0"/>
          <w:numId w:val="2"/>
        </w:numPr>
        <w:spacing w:after="80" w:line="280"/>
      </w:pPr>
      <w:r>
        <w:rPr>
          <w:sz w:val="22"/>
          <w:szCs w:val="22"/>
        </w:rPr>
        <w:t xml:space="preserve">专业物流面临制造业客户降本增效要求，而车辆、仓储、人工、租赁和部分运力成本具有刚性，可能出现收入增长但分部利润下降。2025年专业物流收入同比增长5.08%，但分部利润同比下降22.73%。</w:t>
      </w:r>
    </w:p>
    <w:p>
      <w:pPr>
        <w:pStyle w:val="ListParagraph"/>
        <w:numPr>
          <w:ilvl w:val="0"/>
          <w:numId w:val="2"/>
        </w:numPr>
        <w:spacing w:after="80" w:line="280"/>
      </w:pPr>
      <w:r>
        <w:rPr>
          <w:sz w:val="22"/>
          <w:szCs w:val="22"/>
        </w:rPr>
        <w:t xml:space="preserve">代理业务同时受到上游船公司、航空公司核心运力控制和下游大客户货源及采购议价的双重挤压，主要依靠规模、网络、服务组合、客户黏性和资源整合获取中间服务收益。</w:t>
      </w:r>
    </w:p>
    <w:p>
      <w:pPr>
        <w:pStyle w:val="ListParagraph"/>
        <w:numPr>
          <w:ilvl w:val="0"/>
          <w:numId w:val="2"/>
        </w:numPr>
        <w:spacing w:after="80" w:line="280"/>
      </w:pPr>
      <w:r>
        <w:rPr>
          <w:sz w:val="22"/>
          <w:szCs w:val="22"/>
        </w:rPr>
        <w:t xml:space="preserve">截至2025年12月31日，应收账款账面余额约138.45亿元、账面价值约130.68亿元；按2025年营业收入968.09亿元计算，应收账款账面价值约占全年收入13.5%；按归母净利润40.22亿元计算，约为归母净利润的3.25倍。前五大应收账款客户合计约6.68亿元，占应收账款总额约4.83%，账龄一年以内的应收账款占账龄组合余额约97.2%，但仍存在涉诉、经营困难或长期账龄项目并计提信用损失准备。2024年末应付账款约127.57亿元、应收账款约130.52亿元，应收与应付规模接近，显示公司可通过供应商账期、客户结算周期和资金周转形成一定营运资金对冲，但不能据此认定其拥有绝对议价权。</w:t>
      </w:r>
    </w:p>
    <w:p>
      <w:pPr>
        <w:pStyle w:val="ListParagraph"/>
        <w:numPr>
          <w:ilvl w:val="0"/>
          <w:numId w:val="2"/>
        </w:numPr>
        <w:spacing w:after="80" w:line="280"/>
      </w:pPr>
      <w:r>
        <w:rPr>
          <w:sz w:val="22"/>
          <w:szCs w:val="22"/>
        </w:rPr>
        <w:t xml:space="preserve">客户集中度方面，2024年年报披露前五大客户占营业收入8.56%，2025年第三方整理口径为6.43%，但后者存在报告期展示问题且未能交叉核实；供应商集中度数据未在研究纪要中披露。客户和供应商名称部分被匿名化，本文不作名称推断。</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海运及国际物流市场仍处于较高景气阶段，但物流资源价格、人工和仓储成本较高，利润率未同步大幅提升。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运价回落使收入规模承压，但成本端有所缓解，公司持续拓展合同物流和综合供应链服务，净利率较2022年改善。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约6.2%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约3.96%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海运代理、空运通道和铁路代理业务量增长，但专业物流受到仓储空置率、市场价格下降和客户压价影响，代理业务也受到竞争影响，收入增长与利润承压并存。</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约4.16%</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下降至968.09亿元，但营业成本降幅高于收入降幅，资源集约化和成本管控改善整体毛利表现；不过代理及相关业务、电商业务分部利润分别下降17.41%和87.65%，利润改善并不均衡。净利率为按归母净利润计算的近似值，不等同于严格意义上的合并销售净利率。</w:t>
            </w:r>
          </w:p>
        </w:tc>
      </w:tr>
    </w:tbl>
    <w:p>
      <w:pPr>
        <w:spacing w:before="200"/>
      </w:pPr>
    </w:p>
    <w:p>
      <w:pPr>
        <w:spacing w:after="160" w:line="300"/>
      </w:pPr>
      <w:r>
        <w:rPr>
          <w:sz w:val="22"/>
          <w:szCs w:val="22"/>
        </w:rPr>
        <w:t xml:space="preserve">公司位于物流产业链中游偏综合服务环节，属于综合货代与供应链服务商，整体毛利率和净利率不高。进一步提升利润率主要依赖提高可控运力和自有仓储节点比例、发展全程供应链及高附加值项目物流和化工物流、优化客户结构，并通过集采、数字化和标准化降低单位运营成本，而非简单扩大货量。</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464.52亿元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同比下降8.06%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归母净利润17.25亿元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同比下降11.40%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约249.0亿元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同比下降6.9%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归母净利润约10.4亿元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同比下降19.9%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968.09亿元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同比下降8.34%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归母净利润40.22亿元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同比增长2.66%</w:t>
            </w:r>
          </w:p>
        </w:tc>
      </w:tr>
    </w:tbl>
    <w:p>
      <w:pPr>
        <w:spacing w:after="200"/>
      </w:pPr>
      <w:r>
        <w:rPr>
          <w:i/>
          <w:iCs/>
          <w:color w:val="595959"/>
          <w:sz w:val="18"/>
          <w:szCs w:val="18"/>
        </w:rPr>
        <w:t xml:space="preserve">截至2026年9月13日，公司最新已披露财报为2026年半年度报告，报告期为2026年1月1日至6月30日，财报未经审计。2026年上半年扣除非经常性损益后的归母净利润为16.40亿元，同比增长17.33%；扣非后每股收益约0.2286元，同比增长约17.65%。2026年上半年基本每股收益为0.2404元，同比下降约11.1%。经营活动产生的现金流量净额为-8.58亿元；期末归母净资产413.19亿元，较2025年末增长约0.07%；期末总资产792.12亿元，较2025年末增长约1.10%。2026年上半年毛利率约6.5%，同比提升约0.3个百分点，归母净利率约3.7%。2026年第二季度扣非归母净利润约10.2亿元，同比增长23.9%。2025年全年扣非归母净利润为16.78亿元，同比下降46.95%。</w:t>
      </w:r>
    </w:p>
    <w:p>
      <w:pPr>
        <w:spacing w:after="160" w:line="300"/>
      </w:pPr>
      <w:r>
        <w:rPr>
          <w:sz w:val="22"/>
          <w:szCs w:val="22"/>
        </w:rPr>
        <w:t xml:space="preserve">2026年上半年营业收入和归母净利润同比下降，但扣非归母净利润同比增长，显示核心经营盈利能力有所改善。归母净利润下降而扣非净利润增长，主要与2025年同期存在较高的一次性投资及资产处置收益有关。分业务看，代理及相关业务收入299.37亿元，同比增长1.04%，分部利润14.34亿元，同比增长18.04%；专业物流收入144.22亿元，同比增长0.69%，分部利润3.60亿元，同比增长13.25%；电商业务收入20.92亿元，同比下降68.16%，分部利润0.62亿元，同比下降14.53%。收入端下降主要受运价变化、主动退出部分低效跨境电商物流及物流电商平台业务影响。代理和专业物流板块利润增速明显好于收入增速，电商业务仍处于明显收缩和调整阶段。2025年归母净利润增长较大程度上受到资产处置、REITs及投资收益等非经常性因素影响，盈利分析需同时关注归母和扣非口径。</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12日，近6个月内共有9家机构对2026年业绩进行预测；2027年预测归母净利润均值为36.86亿元、EPS均值为0.52元，2028年预测归母净利润均值为38.39亿元、EPS均值为0.54元，2028年参与预测的机构数量为8家。收入预测详细表与净利润预测的机构数量口径不完全一致，收入数据主要展示6家机构，不能视为完整市场一致预期。具体机构预测：国联民生预计2026—2028年归母净利润35.70亿元、37.09亿元、38.45亿元，EPS为0.50元、0.52元、0.54元；广发证券预计34.14亿元、34.80亿元、35.59亿元，EPS为0.48元、0.49元、0.50元；招商证券预计37.90亿元、38.74亿元、40.65亿元，EPS为0.53元、0.54元、0.57元；华创证券预计35.73亿元、38.55亿元、40.14亿元，EPS为0.50元、0.54元、0.56元；国金证券预计39.42亿元、39.57亿元、40.23亿元，EPS为0.55元、0.55元、0.56元；华泰证券预计29.17亿元、29.57亿元、30.56亿元，EPS为0.41元、0.41元、0.43元。代表性研报还提供了部分营业收入预测：国联民生预计2026—2028年营业收入1021亿元、1078亿元、1137亿元。不同机构预测差异较大，反映其对国际运价、全球贸易需求、跨境电商业务调整、地缘政治和投资收益的判断存在分歧。</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机构详细预测表平均约1004.68亿元；该收入预测主要展示6家机构数据</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机构预测均值35.15亿元，区间29.17亿至39.42亿元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较2025年归母净利润40.22亿元低；同比增速未提供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预测均值0.49元，区间0.41至0.55元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机构详细预测表平均约1050.82亿元；该收入预测主要展示6家机构数据</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机构预测均值36.86亿元，区间29.57亿至40.61亿元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较2026年预测均值增长约1.71亿元；同比增速未提供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预测均值0.52元，区间0.41至0.57元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机构详细预测表平均约1089.53亿元；该收入预测主要展示6家机构数据</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机构预测均值38.39亿元，区间30.56亿至43.71亿元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较2027年预测均值增长约1.53亿元；同比增速未提供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预测均值0.54元，区间0.43至0.61元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国联民生</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预计2026—2028年营业收入1021亿元、1078亿元、1137亿元，归母净利润35.7亿元、37.1亿元、38.5亿元。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预计2026—2028年归母净利润39.4亿元、39.6亿元、40.2亿元。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申万宏源</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预计2026—2028年归母净利润33亿元、36亿元、38亿元。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预计2026—2028年归母净利润35.7亿元、38.6亿元、40.1亿元，对应EPS约0.50元、0.54元、0.56元；目标价7.50元。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同花顺F10近6个月机构评级汇总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买入8家、增持2家；中性、减持、卖出均为0家</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机构整体偏积极，但评级不等同于无风险或确定性上涨判断。</w:t>
            </w:r>
          </w:p>
        </w:tc>
      </w:tr>
    </w:tbl>
    <w:p>
      <w:pPr>
        <w:spacing w:before="200"/>
      </w:pPr>
    </w:p>
    <w:p>
      <w:pPr>
        <w:spacing w:after="160" w:line="300"/>
      </w:pPr>
      <w:r>
        <w:rPr>
          <w:sz w:val="22"/>
          <w:szCs w:val="22"/>
        </w:rPr>
        <w:t xml:space="preserve">截至2026年9月11日收盘附近，中国外运A股股价约6.52元，总市值约467.7亿元。理杏仁数据显示，PE-TTM约12.31倍、PB约1.13倍、股息率约4.52%、总市值约467.73亿元；其他更新时间曾显示股价6.56元、PE约12.38倍、PB约1.14倍，存在正常的市场价格和数据更新时间差异。按6.52元股价及机构一致预测EPS计算，2026—2028年预测PE约为13.3倍、12.5倍和12.1倍；按华创证券预测EPS0.50元、0.54元、0.56元计算，对应动态PE约13.0倍、12.1倍和11.6倍。目标价方面，华创证券于2026年8月27日给予目标价7.50元；富途截至2026年8月31日汇总的分析师目标价平均值为7.22元，最高7.50元，最低7.00元；2026年4月同花顺汇总的近6个月目标价区间约为6.70元至7.30元，平均约7.05元。以6.52元股价计算，目标价7.22元至7.50元对应潜在上涨空间约10.7%至15.0%，但未扣除市场波动、分红除权及估值变化影响。综合来看，当前估值约为12倍PE-TTM、1.1倍PB，股息率约4.5%，具备一定红利和价值属性。估值判断不宜完全依赖2025年归母净利润，需结合扣非利润、现金分红和未来盈利预测。主要不确定性包括国际海运及空运运价波动、全球贸易需求变化、关税和跨境电商政策、地缘政治、海外业务整合及商誉减值风险。</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2026年9月11日披露2026年8月投资者关系活动记录</w:t>
      </w:r>
    </w:p>
    <w:p>
      <w:pPr>
        <w:spacing w:after="160" w:line="300"/>
      </w:pPr>
      <w:r>
        <w:rPr>
          <w:sz w:val="22"/>
          <w:szCs w:val="22"/>
        </w:rPr>
        <w:t xml:space="preserve">公司披露2026年8月投资者关系活动记录，调研时间为2026年8月26日至8月31日，参与机构包括中信证券、中金公司、长江证券、招商证券等。公司表示，海运代理业务未采用提前锁舱锁价模式，运价波动对收入影响较大，但对板块利润影响相对有限；2026年上半年通过内部协同、通道产品、订舱集采等方式延长服务链条，板块利润增速高于业务量增速。空运代理业务上半年单位利润同比提升，受固定运力配置调整、成本下降及市场运价上涨影响；欧盟针对电商小包的政策变化可能继续影响市场供需和运价。铁路代理业务量增加带动物流业财政补贴增长，是上半年其他收益同比增加的重要原因。专业物流业务正在退出部分非持续盈利业务，并向高附加值赛道和海外市场延伸。中外运敦豪为公司持股50%的合资公司，主营国际航空快递业务。该公告为投资者沟通记录，不是业绩预告或盈利预测，公司未给出全年业绩指引。</w:t>
      </w:r>
    </w:p>
    <w:p>
      <w:pPr>
        <w:pStyle w:val="Heading2"/>
        <w:spacing w:after="120" w:before="240"/>
      </w:pPr>
      <w:r>
        <w:rPr>
          <w:b/>
          <w:bCs/>
          <w:color w:val="2E74B5"/>
          <w:sz w:val="24"/>
          <w:szCs w:val="24"/>
        </w:rPr>
        <w:t xml:space="preserve">4.2 2026年9月4日披露H股月报表</w:t>
      </w:r>
    </w:p>
    <w:p>
      <w:pPr>
        <w:spacing w:after="160" w:line="300"/>
      </w:pPr>
      <w:r>
        <w:rPr>
          <w:sz w:val="22"/>
          <w:szCs w:val="22"/>
        </w:rPr>
        <w:t xml:space="preserve">公司披露H股月度股份变动类例行公告，未发现涉及重大并购、重大资产重组、控股股东增减持或A股回购新进展的内容。公司官网投资者关系页面列示了2026年9月3日的“Monthly Return of Equity Issuer”公告。</w:t>
      </w:r>
    </w:p>
    <w:p>
      <w:pPr>
        <w:pStyle w:val="Heading2"/>
        <w:spacing w:after="120" w:before="240"/>
      </w:pPr>
      <w:r>
        <w:rPr>
          <w:b/>
          <w:bCs/>
          <w:color w:val="2E74B5"/>
          <w:sz w:val="24"/>
          <w:szCs w:val="24"/>
        </w:rPr>
        <w:t xml:space="preserve">4.3 2026年8月29日与中外运集运签署一致行动协议</w:t>
      </w:r>
    </w:p>
    <w:p>
      <w:pPr>
        <w:spacing w:after="160" w:line="300"/>
      </w:pPr>
      <w:r>
        <w:rPr>
          <w:sz w:val="22"/>
          <w:szCs w:val="22"/>
        </w:rPr>
        <w:t xml:space="preserve">公司与安通控股第一大股东中外运集装箱运输有限公司签署一致行动协议。截至公告披露日，中国外运直接持有安通控股约3.98%股份，中外运集运直接持有约14.94%股份。双方约定在安通控股股东会层面，就提案权、提名权及表决权等事项保持一致意见；如中国外运向安通控股委派董事，相关董事在董事会层面也应与中外运集运委派的董事保持一致。双方仍分别享有各自持股对应的利润分配、资本公积转增股本等财产性权益。公司公告称，该事项有利于提高安通控股决策效率并加强物流业务协同，不构成关联交易或重大资产重组，无需提交中国外运股东会审议，对中国外运财务报表不会产生重大实质影响。</w:t>
      </w:r>
    </w:p>
    <w:p>
      <w:pPr>
        <w:pStyle w:val="Heading2"/>
        <w:spacing w:after="120" w:before="240"/>
      </w:pPr>
      <w:r>
        <w:rPr>
          <w:b/>
          <w:bCs/>
          <w:color w:val="2E74B5"/>
          <w:sz w:val="24"/>
          <w:szCs w:val="24"/>
        </w:rPr>
        <w:t xml:space="preserve">4.4 2026年8月26日披露半年度报告及中期利润分配方案</w:t>
      </w:r>
    </w:p>
    <w:p>
      <w:pPr>
        <w:spacing w:after="160" w:line="300"/>
      </w:pPr>
      <w:r>
        <w:rPr>
          <w:sz w:val="22"/>
          <w:szCs w:val="22"/>
        </w:rPr>
        <w:t xml:space="preserve">2026年上半年公司实现营业收入464.52亿元，同比下降8.06%；归属于上市公司股东的净利润17.25亿元，同比下降11.40%；扣除非经常性损益后的归母净利润16.40亿元，同比增长17.33%；基本每股收益0.2404元，同比下降11.19%；加权平均净资产收益率3.92%，同比提高0.44个百分点。公司拟向全体股东每股派发2026年中期现金股息0.14元（含税）。截至2026年8月25日，公司总股本为71.7375亿股，预计派发现金股利约10.04亿元，占2026年上半年归属于上市公司股东净利润的58.22%。该方案公告未确定最终股权登记日，实际实施时间需以后续权益分派实施公告为准。</w:t>
      </w:r>
    </w:p>
    <w:p>
      <w:pPr>
        <w:pStyle w:val="Heading2"/>
        <w:spacing w:after="120" w:before="240"/>
      </w:pPr>
      <w:r>
        <w:rPr>
          <w:b/>
          <w:bCs/>
          <w:color w:val="2E74B5"/>
          <w:sz w:val="24"/>
          <w:szCs w:val="24"/>
        </w:rPr>
        <w:t xml:space="preserve">4.5 2026年8月8日召开2026年第一次临时股东会</w:t>
      </w:r>
    </w:p>
    <w:p>
      <w:pPr>
        <w:spacing w:after="160" w:line="300"/>
      </w:pPr>
      <w:r>
        <w:rPr>
          <w:sz w:val="22"/>
          <w:szCs w:val="22"/>
        </w:rPr>
        <w:t xml:space="preserve">公司披露2026年第一次临时股东会决议公告，会议涉及董事选举等事项。上交所网络投票信息显示，本次会议审议了选举李锋、孙剑锋为公司董事的议案。根据纪要，目前未发现该事项对公司控制权、主营业务或资本运作形成重大不利影响。</w:t>
      </w:r>
    </w:p>
    <w:p>
      <w:pPr>
        <w:pStyle w:val="Heading2"/>
        <w:spacing w:after="120" w:before="240"/>
      </w:pPr>
      <w:r>
        <w:rPr>
          <w:b/>
          <w:bCs/>
          <w:color w:val="2E74B5"/>
          <w:sz w:val="24"/>
          <w:szCs w:val="24"/>
        </w:rPr>
        <w:t xml:space="preserve">4.6 高级管理人员减持计划处于实施期</w:t>
      </w:r>
    </w:p>
    <w:p>
      <w:pPr>
        <w:spacing w:after="160" w:line="300"/>
      </w:pPr>
      <w:r>
        <w:rPr>
          <w:sz w:val="22"/>
          <w:szCs w:val="22"/>
        </w:rPr>
        <w:t xml:space="preserve">公司于2026年6月9日披露高级管理人员减持股份计划。董事、总经理、首席数字官高翔计划通过集中竞价方式减持不超过127,400股，计划前持股为509,600股，占公司总股本约0.0071%，拟减持股份占总股本约0.0018%。减持期间为2026年7月1日至2026年9月30日，减持原因为个人资金需求，股份来源为股权激励取得。截至2026年9月13日，公开公告中暂未发现该减持计划已完成、部分完成或终止的结果公告，实际减持数量尚不确定。</w:t>
      </w:r>
    </w:p>
    <w:p>
      <w:pPr>
        <w:pStyle w:val="Heading2"/>
        <w:spacing w:after="120" w:before="240"/>
      </w:pPr>
      <w:r>
        <w:rPr>
          <w:b/>
          <w:bCs/>
          <w:color w:val="2E74B5"/>
          <w:sz w:val="24"/>
          <w:szCs w:val="24"/>
        </w:rPr>
        <w:t xml:space="preserve">4.7 H股回购一般性授权已获审议通过，但尚未确认实施</w:t>
      </w:r>
    </w:p>
    <w:p>
      <w:pPr>
        <w:spacing w:after="160" w:line="300"/>
      </w:pPr>
      <w:r>
        <w:rPr>
          <w:sz w:val="22"/>
          <w:szCs w:val="22"/>
        </w:rPr>
        <w:t xml:space="preserve">公司于2026年5月29日召开相关类别股东会，审议通过回购H股股份的一般性授权，并于2026年5月30日披露通知债权人公告。该事项属于股东会授权，不等同于公司已经实施H股回购。截至2026年9月13日，未发现公司启动新一轮H股回购的具体实施公告或回购数量公告。</w:t>
      </w:r>
    </w:p>
    <w:p>
      <w:pPr>
        <w:pStyle w:val="Heading2"/>
        <w:spacing w:after="120" w:before="240"/>
      </w:pPr>
      <w:r>
        <w:rPr>
          <w:b/>
          <w:bCs/>
          <w:color w:val="2E74B5"/>
          <w:sz w:val="24"/>
          <w:szCs w:val="24"/>
        </w:rPr>
        <w:t xml:space="preserve">4.8 业绩预告、A股回购及重大并购事项暂未有新进展</w:t>
      </w:r>
    </w:p>
    <w:p>
      <w:pPr>
        <w:spacing w:after="160" w:line="300"/>
      </w:pPr>
      <w:r>
        <w:rPr>
          <w:sz w:val="22"/>
          <w:szCs w:val="22"/>
        </w:rPr>
        <w:t xml:space="preserve">截至2026年9月13日，未检索到公司针对2026年前三季度或2026年度发布新的业绩预告、业绩快报或明确全年盈利指引。2026年内未发现新一轮A股回购方案或2026年9月A股回购实施进展公告。未发现新的重大并购、重大资产重组或发行股份购买资产事项；2026年8月29日与中外运集运签署一致行动协议的事项，公告明确不构成重大资产重组。</w:t>
      </w:r>
    </w:p>
    <w:p>
      <w:pPr>
        <w:pStyle w:val="Heading2"/>
        <w:spacing w:after="120" w:before="240"/>
      </w:pPr>
      <w:r>
        <w:rPr>
          <w:b/>
          <w:bCs/>
          <w:color w:val="2E74B5"/>
          <w:sz w:val="24"/>
          <w:szCs w:val="24"/>
        </w:rPr>
        <w:t xml:space="preserve">4.9 监管及政策事项</w:t>
      </w:r>
    </w:p>
    <w:p>
      <w:pPr>
        <w:spacing w:after="160" w:line="300"/>
      </w:pPr>
      <w:r>
        <w:rPr>
          <w:sz w:val="22"/>
          <w:szCs w:val="22"/>
        </w:rPr>
        <w:t xml:space="preserve">截至2026年9月13日，未检索到公司受到交易所监管措施、纪律处分或重大监管处罚的最新公告。公司2026年4月披露“提质增效重回报”行动方案，内容涉及提高经营效率、加强投资者回报、持续分红及回购等，该方案属于公司响应监管及交易所倡议制定的行动安排，不是监管处罚或专项风险提示。</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6.51元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-0.15%，较前一交易日下跌0.01元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6.46元/6.54元/6.38元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约1138万股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约7352.21万元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约0.22%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最近一周主要运行于6.38~6.62元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4.88~7.95元；数据日期以相关行情页面实际更新时间为准</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总股本及总市值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总股本约71.74亿股；总市值约467.0亿元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估值指标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动态市盈率约12.29倍；市净率约1.06倍</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短期价格走势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2026年8月28日至9月11日由6.87元回落至6.51元，区间跌幅约5.2%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呈现冲高后回落、短线弱势震荡特征；9月2日下跌3.28%并伴随约1704万股成交量，短线抛压较为明显。</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MA5约6.53元；MA10约6.56元；MA20约6.59元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收盘价低于三条均线，且呈现MA5＜MA10＜MA20的短线弱势排列。6.56~6.60元为均线及短期震荡中枢叠加压力区。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第三方页面截至2026年9月10日前后显示约51；按近期收盘价粗略计算的RSI6约60~63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不同周期、复权方式和数据更新时间导致读数存在差异；综合看不支持极度超买或极度超卖结论，更接近中性偏弱后的技术修复状态。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第三方技术页面截至2026年9月10日前后显示MACD柱状值约为-0.08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当前动能偏弱或偏绿。由于缺少完整连续的26日以上指数平滑均线序列，无法独立复算DIF、DEA和MACD精确值；若后续股价站上6.60元且MACD柱由负转正并连续放大，才可作为动能改善的辅助确认。</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布林中轨约6.59元；上轨约6.81~6.82元；下轨约6.37~6.40元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股价位于布林中轨下方、下轨上方，处于布林带中下部运行。6.80~6.87元为上轨及前期高位压力区，6.37~6.43元为下轨和近期低点支撑区。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52周位置</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52周最高价7.95元，最低价4.88元，最新收盘价6.51元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当前股价较52周高点低约18.1%，较52周低点高约33.4%，位于52周波动区间中上部，但距离前期高点仍有明显距离。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近期量价关系</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9月7日成交量放大至约1658万股，但股价仅上涨0.77%；随后成交量回落</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放量后的上涨未能延续，显示上方可能存在一定套牢盘或获利盘压力。</w:t>
            </w:r>
          </w:p>
        </w:tc>
      </w:tr>
    </w:tbl>
    <w:p>
      <w:pPr>
        <w:spacing w:before="200"/>
      </w:pPr>
    </w:p>
    <w:p>
      <w:pPr>
        <w:spacing w:after="160" w:line="300"/>
      </w:pPr>
      <w:r>
        <w:rPr>
          <w:sz w:val="22"/>
          <w:szCs w:val="22"/>
        </w:rPr>
        <w:t xml:space="preserve">截至2026年9月11日，中国外运收盘6.51元，短期股价自8月底高位回落，当前低于MA5、MA10和MA20，技术结构偏弱震荡。RSI处于中性区域，MACD第三方读数偏弱，尚未形成明确持续上行动能。价格上方首先面临6.56~6.60元均线及震荡中枢压力，进一步压力位为6.80~6.87元；下方重点观察6.38~6.43元支撑，失守后观察6.28~6.32元。近期换手率较低、成交额总体处于约5300万~1.09亿元区间，资金面截至9月4日的可核实数据偏弱，短线仍需等待价格与成交量的共同确认。</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风险提示：以下内容仅为基于2026年9月11日收盘数据及历史价格、技术指标和资金流向的主观情景推演，不构成投资建议，也不构成对未来走势的保证。</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6.60~6.84元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6.56~6.60元对应MA10、MA20及短期震荡中枢；6.80~6.84元对应布林上轨及8月底高位区域。若放量突破6.60元，可进一步观察6.80元附近；突破6.84元则意味着回落结构修复力度增强，但不代表必然上涨。</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6.38~6.43元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对应9月11日盘中低点6.38元、9月3日低点6.42元及布林下轨附近。若有效跌破6.38元，需观察6.28~6.32元下一支撑区。</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6.28~6.32元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对应8月26日阶段低点6.28元及布林下轨下方延伸支撑。若放量跌破6.28元，短线调整风险可能进一步向52周低点4.88元方向扩展，但不据此认定必然发生。</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启发式权重相对较高，约六成；不是统计概率）：价格观察区间为6.38~6.65元。触发条件包括守住6.38~6.43元支撑、成交量维持近期常态且没有持续放量下跌，以及大盘和物流、交通运输板块未明显转弱。若成立，股价可能围绕6.50元附近反复震荡，反弹首先面临6.56~6.60元压力。</w:t>
      </w:r>
    </w:p>
    <w:p>
      <w:pPr>
        <w:pStyle w:val="ListParagraph"/>
        <w:numPr>
          <w:ilvl w:val="0"/>
          <w:numId w:val="2"/>
        </w:numPr>
        <w:spacing w:after="80" w:line="280"/>
      </w:pPr>
      <w:r>
        <w:rPr>
          <w:sz w:val="22"/>
          <w:szCs w:val="22"/>
        </w:rPr>
        <w:t xml:space="preserve">偏弱下行（主观启发式权重中等，约三成；不是统计概率）：价格观察区间为6.28~6.43元。触发条件包括收盘有效跌破6.38元、成交量明显高于近期约800万~1100万股常态、主力资金继续净流出，或沪主板及物流运输板块同步走弱。若6.28元跌破且无法快速收回，短线弱势可能进一步加剧。</w:t>
      </w:r>
    </w:p>
    <w:p>
      <w:pPr>
        <w:pStyle w:val="ListParagraph"/>
        <w:numPr>
          <w:ilvl w:val="0"/>
          <w:numId w:val="2"/>
        </w:numPr>
        <w:spacing w:after="80" w:line="280"/>
      </w:pPr>
      <w:r>
        <w:rPr>
          <w:sz w:val="22"/>
          <w:szCs w:val="22"/>
        </w:rPr>
        <w:t xml:space="preserve">反弹走强（主观启发式权重偏低，约一成；不是统计概率）：价格观察区间为6.60~6.84元。触发条件包括重新站上6.60元、单日成交额明显高于近期常态且最好连续两个交易日放大、MACD柱由负转正或持续收窄，以及物流、跨境电商、交通运输板块同步走强或出现改善市场预期的新增催化。若无量上冲，则仍可能演变为冲高回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单日成交额约7352万元、换手率约0.22%；9月7日至9月11日成交量分别约为1658万、825万、836万、828万和1138万股，近几日成交额大致处于5300万~1.09亿元区间，近5日平均成交量约1100万股。9月11日中国外运换手率明显低于沪主板同期约1.48%的中位数，说明近期交易活跃度偏低、筹码交换不充分。前十大流通股东合计持有约63.93亿股，占流通盘约89.11%；合计259家机构持有约44.86亿股，占流通A股约86.97%，上述股东结构数据截至2026年6月30日，距当前约两个半月，可能已发生变化。机构持仓分类中，其他机构约81.17%，基金约2.43%，保险公司约2.40%，券商约0.85%；集中持股主要与控股股东、HKSCC NOMINEES LIMITED及其他机构有关，不能简单等同于短线资金主动拉升，公募基金和保险等传统机构占比相对有限。控股股东中国外运长航集团有限公司持股约36.69%，实际控制人为招商局集团。实践上，低换手和较高持股集中度意味着日常筹码交换不充分、可交易筹码相对有限；在缺少增量资金时向上突破持续性可能不足，若突然放量则需区分资金介入与集中兑现。主力资金方面，最新可核实数据截至2026年9月4日前后，近5个交易日合计流出约1632.35万元，但未能可靠取得9月10日至11日单日主力净额，且不同平台统计口径不可完全互换，因此只能说明截至9月4日资金面偏弱，不能直接延伸为9月11日实时状态。</w:t>
      </w:r>
    </w:p>
    <w:p>
      <w:pPr>
        <w:spacing w:after="160" w:line="300"/>
      </w:pPr>
      <w:r>
        <w:rPr>
          <w:sz w:val="22"/>
          <w:szCs w:val="22"/>
        </w:rPr>
        <w:t xml:space="preserve">若后续单日成交额连续放大至1.2亿元以上，且股价同时站稳6.60元，可作为短线资金活跃度改善的观察信号；若成交额放大但股价跌破6.38元，则更应理解为抛压释放，而非单纯资金介入。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观察6.56~6.60元压力区能否被价格与成交量共同突破；该内容为观察思路，非操作指令。</w:t>
      </w:r>
    </w:p>
    <w:p>
      <w:pPr>
        <w:pStyle w:val="ListParagraph"/>
        <w:numPr>
          <w:ilvl w:val="0"/>
          <w:numId w:val="2"/>
        </w:numPr>
        <w:spacing w:after="80" w:line="280"/>
      </w:pPr>
      <w:r>
        <w:rPr>
          <w:sz w:val="22"/>
          <w:szCs w:val="22"/>
        </w:rPr>
        <w:t xml:space="preserve">观察6.38~6.43元第一支撑是否有效，若失守则进一步观察6.28~6.32元；该内容为观察思路，非操作指令。</w:t>
      </w:r>
    </w:p>
    <w:p>
      <w:pPr>
        <w:pStyle w:val="ListParagraph"/>
        <w:numPr>
          <w:ilvl w:val="0"/>
          <w:numId w:val="2"/>
        </w:numPr>
        <w:spacing w:after="80" w:line="280"/>
      </w:pPr>
      <w:r>
        <w:rPr>
          <w:sz w:val="22"/>
          <w:szCs w:val="22"/>
        </w:rPr>
        <w:t xml:space="preserve">观察成交额能否连续高于1.2亿元并配合股价站稳6.60元，以判断突破有效性；该内容为观察思路，非操作指令。</w:t>
      </w:r>
    </w:p>
    <w:p>
      <w:pPr>
        <w:pStyle w:val="ListParagraph"/>
        <w:numPr>
          <w:ilvl w:val="0"/>
          <w:numId w:val="2"/>
        </w:numPr>
        <w:spacing w:after="80" w:line="280"/>
      </w:pPr>
      <w:r>
        <w:rPr>
          <w:sz w:val="22"/>
          <w:szCs w:val="22"/>
        </w:rPr>
        <w:t xml:space="preserve">观察MACD、RSI与股价是否同步改善，并结合大盘及物流、交通运输板块表现综合判断；该内容为观察思路，非操作指令。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外运所处的核心细分市场是国际货运代理和综合供应链物流。中国物流行业市场规模大、细分赛道多，但综合物流、国际货代、快递快运、供应链服务、跨境电商物流、冷链和大宗供应链等赛道交叉明显，市场集中度仍然较低。</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网络和资源能力是基础门槛，国际港口、仓库、海外代理、铁路班列及报关清关网络决定服务覆盖能力。</w:t>
      </w:r>
    </w:p>
    <w:p>
      <w:pPr>
        <w:pStyle w:val="ListParagraph"/>
        <w:numPr>
          <w:ilvl w:val="0"/>
          <w:numId w:val="2"/>
        </w:numPr>
        <w:spacing w:after="80" w:line="280"/>
      </w:pPr>
      <w:r>
        <w:rPr>
          <w:sz w:val="22"/>
          <w:szCs w:val="22"/>
        </w:rPr>
        <w:t xml:space="preserve">规模不能完全转化为高利润，货代业务容易受到运价、舱位价格和客户招标价格影响，业务量增长不一定带来利润同步增长。</w:t>
      </w:r>
    </w:p>
    <w:p>
      <w:pPr>
        <w:pStyle w:val="ListParagraph"/>
        <w:numPr>
          <w:ilvl w:val="0"/>
          <w:numId w:val="2"/>
        </w:numPr>
        <w:spacing w:after="80" w:line="280"/>
      </w:pPr>
      <w:r>
        <w:rPr>
          <w:sz w:val="22"/>
          <w:szCs w:val="22"/>
        </w:rPr>
        <w:t xml:space="preserve">客户由单点运输采购转向全链路供应链采购，具备仓储、运输、关务、海外仓、项目管理和数字化能力的企业更容易提高客户黏性。</w:t>
      </w:r>
    </w:p>
    <w:p>
      <w:pPr>
        <w:pStyle w:val="ListParagraph"/>
        <w:numPr>
          <w:ilvl w:val="0"/>
          <w:numId w:val="2"/>
        </w:numPr>
        <w:spacing w:after="80" w:line="280"/>
      </w:pPr>
      <w:r>
        <w:rPr>
          <w:sz w:val="22"/>
          <w:szCs w:val="22"/>
        </w:rPr>
        <w:t xml:space="preserve">跨境电商平台掌握流量和大量货运需求，并可能直接向航空公司采购运力，压缩传统货代的中间利润空间。</w:t>
      </w:r>
    </w:p>
    <w:p>
      <w:pPr>
        <w:pStyle w:val="ListParagraph"/>
        <w:numPr>
          <w:ilvl w:val="0"/>
          <w:numId w:val="2"/>
        </w:numPr>
        <w:spacing w:after="80" w:line="280"/>
      </w:pPr>
      <w:r>
        <w:rPr>
          <w:sz w:val="22"/>
          <w:szCs w:val="22"/>
        </w:rPr>
        <w:t xml:space="preserve">中国制造企业和跨境电商品牌出海，带动东南亚、中东、拉美、欧洲和非洲的仓储、清关、干线及末端配送需求。</w:t>
      </w:r>
    </w:p>
    <w:p>
      <w:pPr>
        <w:pStyle w:val="ListParagraph"/>
        <w:numPr>
          <w:ilvl w:val="0"/>
          <w:numId w:val="2"/>
        </w:numPr>
        <w:spacing w:after="80" w:line="280"/>
      </w:pPr>
      <w:r>
        <w:rPr>
          <w:sz w:val="22"/>
          <w:szCs w:val="22"/>
        </w:rPr>
        <w:t xml:space="preserve">公司2025年年报引用其海运货代排名全球第一、空运货代排名全球第五，但该行业排名的统计机构和完整口径未在研究纪要中进一步独立核验。</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顺丰控股（002352.SZ）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综合快递、快运、冷链、同城配送、供应链及国际物流企业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2024年供应链及国际业务收入约740.00亿元，占公司收入约26.02%，海外收入约321.57亿元。顺丰更偏快递快运和端到端物流，中国外运更偏国际货代、港口代理和制造业供应链。</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华贸物流（603128.SH）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国际空海铁综合物流、跨境电商物流、国际工程物流、国际仓储物流及特种专业物流企业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年国际空运和国际海运收入合计占主营业务收入约67.18%，两项业务毛利合计占公司主营业务毛利约68.06%。华贸物流在国际空海运货代业务上的收入结构更集中，中国外运的规模、国内网络、铁路及船舶代理资源更强。</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嘉友国际（603871.SH）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跨境多式联运、国际物流和供应链服务企业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重点布局中蒙、中亚、非洲等跨境通道，具有口岸、铁路、仓储和多式联运资源；嘉友国际更聚焦特定跨境通道、口岸和资源品物流，中国外运拥有更广泛的全球网络和综合货代业务。</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厦门象屿（600057.SH）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大宗商品供应链服务企业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为制造业客户提供原材料采购、产成品分销、物流配送、供应链金融和信息咨询等服务，商品涉及金属矿产、农产品、能源化工和新能源等；其更偏大宗商品贸易和产业链运营，中国外运更偏国际物流、货运代理和专业物流。</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京东物流（02618.HK）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仓配一体化、快递快运、供应链、冷链、跨境和国际物流企业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优势在电商仓配网络、技术系统及大型消费和制造业客户；中国外运在国际货代、海运代理、铁路代理、船舶代理和工程项目物流方面更具传统资源优势，双方在合同物流、跨境物流、仓储和制造业供应链领域存在竞争。</w:t>
            </w:r>
          </w:p>
        </w:tc>
      </w:tr>
    </w:tbl>
    <w:p>
      <w:pPr>
        <w:spacing w:before="200"/>
      </w:pPr>
    </w:p>
    <w:p>
      <w:pPr>
        <w:spacing w:after="160" w:line="300"/>
      </w:pPr>
      <w:r>
        <w:rPr>
          <w:sz w:val="22"/>
          <w:szCs w:val="22"/>
        </w:rPr>
        <w:t xml:space="preserve">中国外运的核心差异化在于综合货代、港口及船舶代理、铁路代理、国内网络和制造业供应链服务能力。相较顺丰和京东物流，公司不以快递快运或电商仓配为主要定位；相较华贸物流，公司业务结构更综合，国内网络、铁路及船舶代理资源更强；相较嘉友国际，公司全球网络和综合货代业务更广；相较厦门象屿，公司不以大宗商品贸易和产业链运营为核心。</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国际海运和空运运价波动风险：公司海运代理未采用提前锁舱锁价模式，运价变化会显著影响收入；空运运力又较多掌握在航空公司及大型电商平台，公司对上游核心舱位的控制力相对有限。</w:t>
      </w:r>
    </w:p>
    <w:p>
      <w:pPr>
        <w:pStyle w:val="ListParagraph"/>
        <w:numPr>
          <w:ilvl w:val="0"/>
          <w:numId w:val="2"/>
        </w:numPr>
        <w:spacing w:after="80" w:line="280"/>
      </w:pPr>
      <w:r>
        <w:rPr>
          <w:sz w:val="22"/>
          <w:szCs w:val="22"/>
        </w:rPr>
        <w:t xml:space="preserve">代理业务利润受双向议价挤压风险：上游船公司、航空公司掌握核心运力，下游大型制造商、跨国公司及电商平台通过招标和集中采购压低服务价格，可能造成业务量或收入增长无法同步转化为利润增长。</w:t>
      </w:r>
    </w:p>
    <w:p>
      <w:pPr>
        <w:pStyle w:val="ListParagraph"/>
        <w:numPr>
          <w:ilvl w:val="0"/>
          <w:numId w:val="2"/>
        </w:numPr>
        <w:spacing w:after="80" w:line="280"/>
      </w:pPr>
      <w:r>
        <w:rPr>
          <w:sz w:val="22"/>
          <w:szCs w:val="22"/>
        </w:rPr>
        <w:t xml:space="preserve">电商业务持续收缩风险：2026年上半年电商业务收入同比下降68.16%，分部利润同比下降14.53%；公司主动退出部分低效跨境电商物流和物流电商平台业务，若新业务承接不足，可能继续拖累收入规模和板块盈利。</w:t>
      </w:r>
    </w:p>
    <w:p>
      <w:pPr>
        <w:pStyle w:val="ListParagraph"/>
        <w:numPr>
          <w:ilvl w:val="0"/>
          <w:numId w:val="2"/>
        </w:numPr>
        <w:spacing w:after="80" w:line="280"/>
      </w:pPr>
      <w:r>
        <w:rPr>
          <w:sz w:val="22"/>
          <w:szCs w:val="22"/>
        </w:rPr>
        <w:t xml:space="preserve">非经常性收益回落风险：2025年归母净利润同比增长2.66%，但扣非归母净利润同比下降46.95%，公司利润曾受到资产处置、REITs及投资收益等因素影响；若相关一次性收益减少，归母利润可能继续承压。</w:t>
      </w:r>
    </w:p>
    <w:p>
      <w:pPr>
        <w:pStyle w:val="ListParagraph"/>
        <w:numPr>
          <w:ilvl w:val="0"/>
          <w:numId w:val="2"/>
        </w:numPr>
        <w:spacing w:after="80" w:line="280"/>
      </w:pPr>
      <w:r>
        <w:rPr>
          <w:sz w:val="22"/>
          <w:szCs w:val="22"/>
        </w:rPr>
        <w:t xml:space="preserve">经营现金流和应收账款风险：截至2026年上半年经营活动现金流净额为-8.58亿元；截至2025年末应收账款账面价值约130.68亿元，占全年营业收入约13.5%，虽一年以内账龄占比较高，但仍存在涉诉、经营困难或长期账龄项目并计提信用损失准备的情况。</w:t>
      </w:r>
    </w:p>
    <w:p>
      <w:pPr>
        <w:pStyle w:val="ListParagraph"/>
        <w:numPr>
          <w:ilvl w:val="0"/>
          <w:numId w:val="2"/>
        </w:numPr>
        <w:spacing w:after="80" w:line="280"/>
      </w:pPr>
      <w:r>
        <w:rPr>
          <w:sz w:val="22"/>
          <w:szCs w:val="22"/>
        </w:rPr>
        <w:t xml:space="preserve">专业物流利润率承压风险：2025年专业物流收入同比增长5.08%，但分部利润同比下降22.73%，制造业客户降本、仓储空置率、人工、车辆、租赁及运输资源成本刚性，可能使收入增长与利润改善脱节。</w:t>
      </w:r>
    </w:p>
    <w:p>
      <w:pPr>
        <w:pStyle w:val="ListParagraph"/>
        <w:numPr>
          <w:ilvl w:val="0"/>
          <w:numId w:val="2"/>
        </w:numPr>
        <w:spacing w:after="80" w:line="280"/>
      </w:pPr>
      <w:r>
        <w:rPr>
          <w:sz w:val="22"/>
          <w:szCs w:val="22"/>
        </w:rPr>
        <w:t xml:space="preserve">海外经营及政策风险：公司海外业务覆盖45个国家和地区，海外节点和业务延伸可能受到地缘政治、关税、跨境电商政策及欧盟电商小包政策变化影响，进而影响跨境物流需求、运价和海外业务整合效果。</w:t>
      </w:r>
    </w:p>
    <w:p>
      <w:pPr>
        <w:pStyle w:val="ListParagraph"/>
        <w:numPr>
          <w:ilvl w:val="0"/>
          <w:numId w:val="2"/>
        </w:numPr>
        <w:spacing w:after="80" w:line="280"/>
      </w:pPr>
      <w:r>
        <w:rPr>
          <w:sz w:val="22"/>
          <w:szCs w:val="22"/>
        </w:rPr>
        <w:t xml:space="preserve">股价流动性和技术调整风险：截至2026年9月11日股价低于MA5、MA10和MA20，近期换手率约0.22%，且截至9月4日前后的近5个交易日资金合计流出约1632.35万元；若6.38元附近支撑失守并伴随放量，短期弱势可能进一步扩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中期增长逻辑在于以综合物流网络为基础，提高订舱集采、通道产品、固定运力和自有仓储节点的利用效率，并向高附加值项目物流、化工物流、全程供应链及海外市场延伸。2026年上半年代理及专业物流板块利润增速明显高于收入增速，表明成本控制、内部协同和业务结构优化已有一定成效；但该改善能否持续，取决于国际运价、全球贸易需求、客户价格谈判及低效业务退出后的新业务承接情况。</w:t>
      </w:r>
    </w:p>
    <w:p>
      <w:pPr>
        <w:spacing w:after="160" w:line="300"/>
      </w:pPr>
      <w:r>
        <w:rPr>
          <w:sz w:val="22"/>
          <w:szCs w:val="22"/>
        </w:rPr>
        <w:t xml:space="preserve">公司目前具备一定价值和股息属性，机构对2026—2028年归母净利润的预测均值分别为35.15亿元、36.86亿元和38.39亿元，但2026年预测均值低于2025年归母净利润，且不同机构预测差异较大。后续应重点关注扣非利润能否持续增长、经营现金流能否修复、电商业务收缩对整体收入和利润的影响，以及代理和专业物流的利润改善能否抵消运价波动。</w:t>
      </w:r>
    </w:p>
    <w:p>
      <w:pPr>
        <w:spacing w:after="160" w:line="300"/>
      </w:pPr>
      <w:r>
        <w:rPr>
          <w:sz w:val="22"/>
          <w:szCs w:val="22"/>
        </w:rPr>
        <w:t xml:space="preserve">短期股价处于6.38至6.62元附近震荡区间，若缺乏成交量配合，反弹延续性仍有不确定性；若价格跌破支撑区，弱势结构可能加剧。公司与中外运集运签署一致行动协议有助于加强安通控股层面的物流协同，但公告明确该事项对中国外运财务报表不会产生重大实质影响，且H股回购目前仅获一般性授权、尚未确认实施，相关事项对经营和估值的实际影响仍需以后续公告为准。</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中国外运:2025年年度报告_九方智投 — https://www.9fzt.com/detail/sh_601598_9_c7966a90d7dd1140520a740cd9233d1f.html</w:t>
      </w:r>
    </w:p>
    <w:p>
      <w:pPr>
        <w:spacing w:after="200"/>
      </w:pPr>
      <w:r>
        <w:rPr>
          <w:i/>
          <w:iCs/>
          <w:color w:val="595959"/>
          <w:sz w:val="18"/>
          <w:szCs w:val="18"/>
        </w:rPr>
        <w:t xml:space="preserve">股份有限公司2024年年度报告 — https://static.cninfo.com.cn/finalpage/2025-03-26/1222895880.PDF</w:t>
      </w:r>
    </w:p>
    <w:p>
      <w:pPr>
        <w:spacing w:after="200"/>
      </w:pPr>
      <w:r>
        <w:rPr>
          <w:i/>
          <w:iCs/>
          <w:color w:val="595959"/>
          <w:sz w:val="18"/>
          <w:szCs w:val="18"/>
        </w:rPr>
        <w:t xml:space="preserve">中国外运(601598) 经营分析_F10_同花顺金融服务网 — https://basic.10jqka.com.cn/601598/operate.html</w:t>
      </w:r>
    </w:p>
    <w:p>
      <w:pPr>
        <w:spacing w:after="200"/>
      </w:pPr>
      <w:r>
        <w:rPr>
          <w:i/>
          <w:iCs/>
          <w:color w:val="595959"/>
          <w:sz w:val="18"/>
          <w:szCs w:val="18"/>
        </w:rPr>
        <w:t xml:space="preserve">中国外运(601598)资产负债表_新浪财经_新浪网 — https://money.finance.sina.com.cn/corp/go.php/vFD_BalanceSheet/stockid/601598/ctrl/2024/displaytype/4.phtml</w:t>
      </w:r>
    </w:p>
    <w:p>
      <w:pPr>
        <w:spacing w:after="200"/>
      </w:pPr>
      <w:r>
        <w:rPr>
          <w:i/>
          <w:iCs/>
          <w:color w:val="595959"/>
          <w:sz w:val="18"/>
          <w:szCs w:val="18"/>
        </w:rPr>
        <w:t xml:space="preserve">中国外运(601598)_公司公告_中国外运：2024年年度报告摘要新浪财经_新浪网 — https://money.finance.sina.com.cn/corp/view/vCB_AllBulletinDetail.php?id=10807036&amp;stockid=601598</w:t>
      </w:r>
    </w:p>
    <w:p>
      <w:pPr>
        <w:spacing w:after="200"/>
      </w:pPr>
      <w:r>
        <w:rPr>
          <w:i/>
          <w:iCs/>
          <w:color w:val="595959"/>
          <w:sz w:val="18"/>
          <w:szCs w:val="18"/>
        </w:rPr>
        <w:t xml:space="preserve">顺丰控股(002352)_公司公告_顺丰控股：2024年年度报告新浪财经_新浪网 — https://money.finance.sina.com.cn/corp/view/vCB_AllBulletinDetail.php?id=10823716&amp;stockid=002352&amp;utm_source=openai</w:t>
      </w:r>
    </w:p>
    <w:p>
      <w:pPr>
        <w:spacing w:after="200"/>
      </w:pPr>
      <w:r>
        <w:rPr>
          <w:i/>
          <w:iCs/>
          <w:color w:val="595959"/>
          <w:sz w:val="18"/>
          <w:szCs w:val="18"/>
        </w:rPr>
        <w:t xml:space="preserve">华贸物流(603128)_公司公告_华贸物流：2024年年度报告新浪财经_新浪网 — https://money.finance.sina.com.cn/corp/view/vCB_AllBulletinDetail.php?id=10894486&amp;stockid=603128&amp;utm_source=openai</w:t>
      </w:r>
    </w:p>
    <w:p>
      <w:pPr>
        <w:spacing w:after="200"/>
      </w:pPr>
      <w:r>
        <w:rPr>
          <w:i/>
          <w:iCs/>
          <w:color w:val="595959"/>
          <w:sz w:val="18"/>
          <w:szCs w:val="18"/>
        </w:rPr>
        <w:t xml:space="preserve">厦门象屿(600057)_公司公告_厦门象屿：2024年年度报告新浪财经_新浪网 — https://money.finance.sina.com.cn/corp/view/vCB_AllBulletinDetail.php?id=10918059&amp;stockid=600057&amp;utm_source=openai</w:t>
      </w:r>
    </w:p>
    <w:p>
      <w:pPr>
        <w:spacing w:after="200"/>
      </w:pPr>
      <w:r>
        <w:rPr>
          <w:i/>
          <w:iCs/>
          <w:color w:val="595959"/>
          <w:sz w:val="18"/>
          <w:szCs w:val="18"/>
        </w:rPr>
        <w:t xml:space="preserve">中国外运(601598) 盈利预测_F10_同花顺金融服务网 — https://basic.10jqka.com.cn/601598/worth.html</w:t>
      </w:r>
    </w:p>
    <w:p>
      <w:pPr>
        <w:spacing w:after="200"/>
      </w:pPr>
      <w:r>
        <w:rPr>
          <w:i/>
          <w:iCs/>
          <w:color w:val="595959"/>
          <w:sz w:val="18"/>
          <w:szCs w:val="18"/>
        </w:rPr>
        <w:t xml:space="preserve">中国外运(601598)_公司公告_中国外运：2026年半年度报告摘要新浪财经_新浪网 — https://money.finance.sina.com.cn/corp/view/vCB_AllBulletinDetail.php?id=12537120&amp;stockid=601598&amp;utm_source=openai</w:t>
      </w:r>
    </w:p>
    <w:p>
      <w:pPr>
        <w:spacing w:after="200"/>
      </w:pPr>
      <w:r>
        <w:rPr>
          <w:i/>
          <w:iCs/>
          <w:color w:val="595959"/>
          <w:sz w:val="18"/>
          <w:szCs w:val="18"/>
        </w:rPr>
        <w:t xml:space="preserve">中国外运(601598)_公司公告_中国外运：2025年年度报告摘要新浪财经_新浪网 — https://money.finance.sina.com.cn/corp/view/vCB_AllBulletinDetail.php?id=12046248&amp;stockid=601598</w:t>
      </w:r>
    </w:p>
    <w:p>
      <w:pPr>
        <w:spacing w:after="200"/>
      </w:pPr>
      <w:r>
        <w:rPr>
          <w:i/>
          <w:iCs/>
          <w:color w:val="595959"/>
          <w:sz w:val="18"/>
          <w:szCs w:val="18"/>
        </w:rPr>
        <w:t xml:space="preserve">中国外运 (601598)股票预测和分析师评级 - 富途牛牛 — https://www.futunn.com/stock/601598-SH/forecast?utm_source=openai</w:t>
      </w:r>
    </w:p>
    <w:p>
      <w:pPr>
        <w:spacing w:after="200"/>
      </w:pPr>
      <w:r>
        <w:rPr>
          <w:i/>
          <w:iCs/>
          <w:color w:val="595959"/>
          <w:sz w:val="18"/>
          <w:szCs w:val="18"/>
        </w:rPr>
        <w:t xml:space="preserve">中国外运(601598)市盈率|估值|基本面 - 理杏仁 — https://www.lixinger.com/equity/company/detail/sh/601598/601598/fundamental/valuation/pe-ttm?utm_source=openai</w:t>
      </w:r>
    </w:p>
    <w:p>
      <w:pPr>
        <w:spacing w:after="200"/>
      </w:pPr>
      <w:r>
        <w:rPr>
          <w:i/>
          <w:iCs/>
          <w:color w:val="595959"/>
          <w:sz w:val="18"/>
          <w:szCs w:val="18"/>
        </w:rPr>
        <w:t xml:space="preserve">中国外运(601598)_公司公告_中国外运：投资者关系活动记录-2026年8月投资者关系活动记录新浪财经_新浪网 — https://money.finance.sina.com.cn/corp/view/vCB_AllBulletinDetail.php?id=12595962&amp;stockid=601598</w:t>
      </w:r>
    </w:p>
    <w:p>
      <w:pPr>
        <w:spacing w:after="200"/>
      </w:pPr>
      <w:r>
        <w:rPr>
          <w:i/>
          <w:iCs/>
          <w:color w:val="595959"/>
          <w:sz w:val="18"/>
          <w:szCs w:val="18"/>
        </w:rPr>
        <w:t xml:space="preserve">中国外运(601598)公司公告_新浪财经_新浪网 — https://money.finance.sina.com.cn/corp/go.php/vCB_AllBulletin/stockid/601598.phtml</w:t>
      </w:r>
    </w:p>
    <w:p>
      <w:pPr>
        <w:spacing w:after="200"/>
      </w:pPr>
      <w:r>
        <w:rPr>
          <w:i/>
          <w:iCs/>
          <w:color w:val="595959"/>
          <w:sz w:val="18"/>
          <w:szCs w:val="18"/>
        </w:rPr>
        <w:t xml:space="preserve">中国外运股份有限公司 Investor Relations — https://www.sinotrans.com/col/col3960/index.html?utm_source=openai</w:t>
      </w:r>
    </w:p>
    <w:p>
      <w:pPr>
        <w:spacing w:after="200"/>
      </w:pPr>
      <w:r>
        <w:rPr>
          <w:i/>
          <w:iCs/>
          <w:color w:val="595959"/>
          <w:sz w:val="18"/>
          <w:szCs w:val="18"/>
        </w:rPr>
        <w:t xml:space="preserve">中国外运(601598)_公司公告_中国外运：关于与参股公司其他股东签署《一致行动协议》的公告新浪财经_新浪网 — https://money.finance.sina.com.cn/corp/view/vCB_AllBulletinDetail.php?id=12568512&amp;stockid=601598</w:t>
      </w:r>
    </w:p>
    <w:p>
      <w:pPr>
        <w:spacing w:after="200"/>
      </w:pPr>
      <w:r>
        <w:rPr>
          <w:i/>
          <w:iCs/>
          <w:color w:val="595959"/>
          <w:sz w:val="18"/>
          <w:szCs w:val="18"/>
        </w:rPr>
        <w:t xml:space="preserve">中国外运: 关于与参股公司其他股东签署《一致行动协议》的公告_股票频道_证券之星 — https://stock.stockstar.com/notice/SN2026082900004024.shtml?utm_source=openai</w:t>
      </w:r>
    </w:p>
    <w:p>
      <w:pPr>
        <w:spacing w:after="200"/>
      </w:pPr>
      <w:r>
        <w:rPr>
          <w:i/>
          <w:iCs/>
          <w:color w:val="595959"/>
          <w:sz w:val="18"/>
          <w:szCs w:val="18"/>
        </w:rPr>
        <w:t xml:space="preserve">安通控股(600179)_公司公告_安通控股：关于公司控股股东、实际控制人发生变更的公告新浪财经_新浪网 — https://vip.stock.finance.sina.com.cn/corp/view/vCB_AllBulletinDetail.php?id=12571864&amp;stockid=600179&amp;utm_source=openai</w:t>
      </w:r>
    </w:p>
    <w:p>
      <w:pPr>
        <w:spacing w:after="200"/>
      </w:pPr>
      <w:r>
        <w:rPr>
          <w:i/>
          <w:iCs/>
          <w:color w:val="595959"/>
          <w:sz w:val="18"/>
          <w:szCs w:val="18"/>
        </w:rPr>
        <w:t xml:space="preserve">中国外运(601598)_公司公告_中国外运：2026年半年度报告新浪财经_新浪网 — https://money.finance.sina.com.cn/corp/view/vCB_AllBulletinDetail.php?id=12537121&amp;stockid=601598</w:t>
      </w:r>
    </w:p>
    <w:p>
      <w:pPr>
        <w:spacing w:after="200"/>
      </w:pPr>
      <w:r>
        <w:rPr>
          <w:i/>
          <w:iCs/>
          <w:color w:val="595959"/>
          <w:sz w:val="18"/>
          <w:szCs w:val="18"/>
        </w:rPr>
        <w:t xml:space="preserve">中国外运(601598)_公司公告_中国外运：关于2026年上半年利润分配方案的公告新浪财经_新浪网 — https://money.finance.sina.com.cn/corp/view/vCB_AllBulletinDetail.php?id=12537127&amp;stockid=601598</w:t>
      </w:r>
    </w:p>
    <w:p>
      <w:pPr>
        <w:spacing w:after="200"/>
      </w:pPr>
      <w:r>
        <w:rPr>
          <w:i/>
          <w:iCs/>
          <w:color w:val="595959"/>
          <w:sz w:val="18"/>
          <w:szCs w:val="18"/>
        </w:rPr>
        <w:t xml:space="preserve">https://vote.sseinfo.com/o/home/gddhDetail112816/20260807?utm_source=openai — https://vote.sseinfo.com/o/home/gddhDetail112816/20260807?utm_source=openai</w:t>
      </w:r>
    </w:p>
    <w:p>
      <w:pPr>
        <w:spacing w:after="200"/>
      </w:pPr>
      <w:r>
        <w:rPr>
          <w:i/>
          <w:iCs/>
          <w:color w:val="595959"/>
          <w:sz w:val="18"/>
          <w:szCs w:val="18"/>
        </w:rPr>
        <w:t xml:space="preserve">中国外运(601598)_公司公告_中国外运：高级管理人员减持股份计划公告新浪财经_新浪网 — https://money.finance.sina.com.cn/corp/view/vCB_AllBulletinDetail.php?id=12379978&amp;stockid=601598</w:t>
      </w:r>
    </w:p>
    <w:p>
      <w:pPr>
        <w:spacing w:after="200"/>
      </w:pPr>
      <w:r>
        <w:rPr>
          <w:i/>
          <w:iCs/>
          <w:color w:val="595959"/>
          <w:sz w:val="18"/>
          <w:szCs w:val="18"/>
        </w:rPr>
        <w:t xml:space="preserve">中国外运(601598)_公司公告_中国外运：关于董事会获得回购H股一般性授权通知债权人的公告新浪财经_新浪网 — https://money.finance.sina.com.cn/corp/view/vCB_AllBulletinDetail.php?id=12363622&amp;stockid=601598</w:t>
      </w:r>
    </w:p>
    <w:p>
      <w:pPr>
        <w:spacing w:after="200"/>
      </w:pPr>
      <w:r>
        <w:rPr>
          <w:i/>
          <w:iCs/>
          <w:color w:val="595959"/>
          <w:sz w:val="18"/>
          <w:szCs w:val="18"/>
        </w:rPr>
        <w:t xml:space="preserve">中国外运两类别股东会通过H股回购一般性授权议案 A股同意率99.98% H股全票通过|股东会_新浪财经_新浪网 — https://finance.sina.com.cn/stock/aigc/gdhjy/2026-05-29/doc-inhzqimp7631126.shtml?utm_source=openai</w:t>
      </w:r>
    </w:p>
    <w:p>
      <w:pPr>
        <w:spacing w:after="200"/>
      </w:pPr>
      <w:r>
        <w:rPr>
          <w:i/>
          <w:iCs/>
          <w:color w:val="595959"/>
          <w:sz w:val="18"/>
          <w:szCs w:val="18"/>
        </w:rPr>
        <w:t xml:space="preserve">中国外运(601598)_公司公告_中国外运：关于2026年度“提质增效重回报”行动方案的公告新浪财经_新浪网 — https://money.finance.sina.com.cn/corp/view/vCB_AllBulletinDetail.php?id=12250533&amp;stockid=601598&amp;utm_source=openai</w:t>
      </w:r>
    </w:p>
    <w:p>
      <w:pPr>
        <w:spacing w:after="200"/>
      </w:pPr>
      <w:r>
        <w:rPr>
          <w:i/>
          <w:iCs/>
          <w:color w:val="595959"/>
          <w:sz w:val="18"/>
          <w:szCs w:val="18"/>
        </w:rPr>
        <w:t xml:space="preserve">本报告由AI基于公开渠道信息自动检索、整理并生成，信息截至 数据截至2026年9月11日收盘；部分技术指标及资金流向数据的最新可核实日期分别为2026年9月10日前后和2026年9月4日前后，股东结构数据截至2026年6月30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2026-09-13T15:11:21.671Z</dcterms:created>
  <dcterms:modified xsi:type="dcterms:W3CDTF">2026-09-13T15:11:21.671Z</dcterms:modified>
</cp:coreProperties>
</file>

<file path=docProps/custom.xml><?xml version="1.0" encoding="utf-8"?>
<Properties xmlns="http://schemas.openxmlformats.org/officeDocument/2006/custom-properties" xmlns:vt="http://schemas.openxmlformats.org/officeDocument/2006/docPropsVTypes"/>
</file>