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宁波拓普集团股份有限公司（拓普集团，601689） (601689)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行业：汽车零部件平台型供应商</w:t>
      </w:r>
    </w:p>
    <w:p>
      <w:pPr>
        <w:jc w:val="center"/>
      </w:pPr>
      <w:r>
        <w:rPr>
          <w:color w:val="595959"/>
          <w:sz w:val="22"/>
          <w:szCs w:val="22"/>
        </w:rPr>
        <w:t xml:space="preserve">报告日期：2026年9月13日</w:t>
      </w:r>
    </w:p>
    <w:p>
      <w:pPr>
        <w:jc w:val="center"/>
      </w:pPr>
      <w:r>
        <w:rPr>
          <w:color w:val="595959"/>
          <w:sz w:val="20"/>
          <w:szCs w:val="20"/>
        </w:rPr>
        <w:t xml:space="preserve">截至2026年9月11日收盘；当前日期为2026年9月13日，9月12日至13日为周末，最近交易日为9月11日。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拓普集团最新基本面呈现“收入增长、利润下滑”：2026年上半年营业收入141.99亿元，同比增长9.78%，归母净利润10.23亿元，同比下降21.03%，扣非归母净利润9.08亿元，同比下降21.87%；2025年全年收入295.81亿元，同比增长11.21%，归母净利润27.79亿元，同比下降7.38%。盈利承压主要来自行业竞争加剧、客户降价、原材料及制造成本上升、新建和海外产能爬坡、研发投入增加以及汇兑损失。</w:t>
      </w:r>
    </w:p>
    <w:p>
      <w:pPr>
        <w:spacing w:after="160" w:line="300"/>
      </w:pPr>
      <w:r>
        <w:rPr>
          <w:sz w:val="22"/>
          <w:szCs w:val="22"/>
        </w:rPr>
        <w:t xml:space="preserve">公司仍具备平台化和系统集成特征，覆盖底盘、内饰、减震、热管理、汽车电子、空气悬架等多个产品领域，并通过“Tier 0.5”模式参与整车厂同步研发和模块化供货。2025年汽车零部件收入275.24亿元，占营业收入约93%；研发费用14.96亿元，占收入5.06%，研发人员4466人。空气悬架、汽车电子、线控制动、线控转向及智能座舱等产品的持续放量，以及海外制造布局和产能利用率提升，是中长期增长逻辑。</w:t>
      </w:r>
    </w:p>
    <w:p>
      <w:pPr>
        <w:spacing w:after="160" w:line="300"/>
      </w:pPr>
      <w:r>
        <w:rPr>
          <w:sz w:val="22"/>
          <w:szCs w:val="22"/>
        </w:rPr>
        <w:t xml:space="preserve">但公司盈利质量仍面临明显约束。2025年汽车零部件整体毛利率为18.04%，同比下降1.38个百分点；2026年上半年毛利率约18.81%，同比下降0.74个百分点。2025年前五大客户销售额占比65.79%，下游客户集中度较高；汽车零部件成本中直接材料占比79.37%，公司对铝、钢、橡胶等材料价格缺乏绝对定价权，整车厂年降、项目竞争和新产能折旧可能继续挤压利润。</w:t>
      </w:r>
    </w:p>
    <w:p>
      <w:pPr>
        <w:spacing w:after="160" w:line="300"/>
      </w:pPr>
      <w:r>
        <w:rPr>
          <w:sz w:val="22"/>
          <w:szCs w:val="22"/>
        </w:rPr>
        <w:t xml:space="preserve">截至2026年9月11日，股价收于43.10元，近20个交易日下跌约12.9%，接近52周价格区间下沿。股价低于MA5、MA10、MA20，短期均线呈空头排列，且大单及超大单合计净流出约1.11亿元，技术面和资金面偏弱；同时RSI约35.5、股价低于估算布林下轨，存在技术性反弹可能，但尚不足以确认趋势反转。当前TTM市盈率约30—37倍、PB约3.1—3.3倍，估值并非极低水平。</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601689</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拓普集团</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总部</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浙江省宁波市北仑区</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汽车零部件的研发、生产与销售，定位为面向智能电动汽车的科技型、平台型零部件供应商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报告口径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主要采用公司2025年年度报告及公司官网资料，财务、客户、产能等数据主要截至2025年12月31日；报告发布日期为2026年3月24日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295.81亿元，同比增长11.21%</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2025年归属于上市公司股东的净利润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27.79亿元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2025年汽车零部件主营业务收入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275.24亿元，占营业收入约93.0%</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2025年研发费用</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14.96亿元，占营业收入5.06%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2025年研发人员</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4466人，占员工总数17.10%</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单车配套金额</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公司披露八大汽车产品线单车配套金额约3万元；该金额为公司综合配套能力口径，不等同于所有客户或所有车型的实际单车收入</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NVH减震系统：动力总成支承、驱动电机减震器、筒式支承、扭转减震器、副车架支承、液压衬套等</w:t>
      </w:r>
    </w:p>
    <w:p>
      <w:pPr>
        <w:pStyle w:val="ListParagraph"/>
        <w:numPr>
          <w:ilvl w:val="0"/>
          <w:numId w:val="2"/>
        </w:numPr>
        <w:spacing w:after="80" w:line="280"/>
      </w:pPr>
      <w:r>
        <w:rPr>
          <w:sz w:val="22"/>
          <w:szCs w:val="22"/>
        </w:rPr>
        <w:t xml:space="preserve">内外饰系统：门板、顶棚、主地毯、衣帽架、隔音隔热件、密封条、装饰条等；2025年分产品统计中的内饰功能件收入为96.72亿元，毛利率16.88%</w:t>
      </w:r>
    </w:p>
    <w:p>
      <w:pPr>
        <w:pStyle w:val="ListParagraph"/>
        <w:numPr>
          <w:ilvl w:val="0"/>
          <w:numId w:val="2"/>
        </w:numPr>
        <w:spacing w:after="80" w:line="280"/>
      </w:pPr>
      <w:r>
        <w:rPr>
          <w:sz w:val="22"/>
          <w:szCs w:val="22"/>
        </w:rPr>
        <w:t xml:space="preserve">轻量化车身：一体化成型车身前后底板、车身结构件、车门结构件、电池PACK结构件等</w:t>
      </w:r>
    </w:p>
    <w:p>
      <w:pPr>
        <w:pStyle w:val="ListParagraph"/>
        <w:numPr>
          <w:ilvl w:val="0"/>
          <w:numId w:val="2"/>
        </w:numPr>
        <w:spacing w:after="80" w:line="280"/>
      </w:pPr>
      <w:r>
        <w:rPr>
          <w:sz w:val="22"/>
          <w:szCs w:val="22"/>
        </w:rPr>
        <w:t xml:space="preserve">智能座舱部件：转屏控制器、电动尾门、电动移门、座椅舒适系统等</w:t>
      </w:r>
    </w:p>
    <w:p>
      <w:pPr>
        <w:pStyle w:val="ListParagraph"/>
        <w:numPr>
          <w:ilvl w:val="0"/>
          <w:numId w:val="2"/>
        </w:numPr>
        <w:spacing w:after="80" w:line="280"/>
      </w:pPr>
      <w:r>
        <w:rPr>
          <w:sz w:val="22"/>
          <w:szCs w:val="22"/>
        </w:rPr>
        <w:t xml:space="preserve">热管理系统：集成式热泵总成、多通阀、电子水泵、电子膨胀阀等；2025年收入20.91亿元，毛利率16.34%</w:t>
      </w:r>
    </w:p>
    <w:p>
      <w:pPr>
        <w:pStyle w:val="ListParagraph"/>
        <w:numPr>
          <w:ilvl w:val="0"/>
          <w:numId w:val="2"/>
        </w:numPr>
        <w:spacing w:after="80" w:line="280"/>
      </w:pPr>
      <w:r>
        <w:rPr>
          <w:sz w:val="22"/>
          <w:szCs w:val="22"/>
        </w:rPr>
        <w:t xml:space="preserve">底盘系统：前后钢制或铝制副车架、控制臂、拉杆、转向节等；2025年收入87.22亿元，毛利率19.14%</w:t>
      </w:r>
    </w:p>
    <w:p>
      <w:pPr>
        <w:pStyle w:val="ListParagraph"/>
        <w:numPr>
          <w:ilvl w:val="0"/>
          <w:numId w:val="2"/>
        </w:numPr>
        <w:spacing w:after="80" w:line="280"/>
      </w:pPr>
      <w:r>
        <w:rPr>
          <w:sz w:val="22"/>
          <w:szCs w:val="22"/>
        </w:rPr>
        <w:t xml:space="preserve">空气悬架系统：集成式供气单元、空气弹簧、高度传感器等</w:t>
      </w:r>
    </w:p>
    <w:p>
      <w:pPr>
        <w:pStyle w:val="ListParagraph"/>
        <w:numPr>
          <w:ilvl w:val="0"/>
          <w:numId w:val="2"/>
        </w:numPr>
        <w:spacing w:after="80" w:line="280"/>
      </w:pPr>
      <w:r>
        <w:rPr>
          <w:sz w:val="22"/>
          <w:szCs w:val="22"/>
        </w:rPr>
        <w:t xml:space="preserve">智能驾驶系统：线控制动IBS、线控转向EPS、电调管柱等</w:t>
      </w:r>
    </w:p>
    <w:p>
      <w:pPr>
        <w:pStyle w:val="ListParagraph"/>
        <w:numPr>
          <w:ilvl w:val="0"/>
          <w:numId w:val="2"/>
        </w:numPr>
        <w:spacing w:after="80" w:line="280"/>
      </w:pPr>
      <w:r>
        <w:rPr>
          <w:sz w:val="22"/>
          <w:szCs w:val="22"/>
        </w:rPr>
        <w:t xml:space="preserve">机器人执行器：直线执行器、旋转执行器、灵巧手电机、传感器、躯体结构件、足部减震器、电子柔性皮肤等；2025年收入1359万元，毛利率28.25%，处于早期商业化阶段</w:t>
      </w:r>
    </w:p>
    <w:p>
      <w:pPr>
        <w:pStyle w:val="ListParagraph"/>
        <w:numPr>
          <w:ilvl w:val="0"/>
          <w:numId w:val="2"/>
        </w:numPr>
        <w:spacing w:after="80" w:line="280"/>
      </w:pPr>
      <w:r>
        <w:rPr>
          <w:sz w:val="22"/>
          <w:szCs w:val="22"/>
        </w:rPr>
        <w:t xml:space="preserve">2025年汽车零部件主营业务收入结构：内饰功能件约35.1%，底盘系统约31.7%，减震系统约15.5%，汽车电子约10.1%，热管理系统约7.6%；比例根据年度报告披露数据计算，机器人执行器未纳入该合计口径</w:t>
      </w:r>
    </w:p>
    <w:p>
      <w:pPr>
        <w:pStyle w:val="ListParagraph"/>
        <w:numPr>
          <w:ilvl w:val="0"/>
          <w:numId w:val="2"/>
        </w:numPr>
        <w:spacing w:after="80" w:line="280"/>
      </w:pPr>
      <w:r>
        <w:rPr>
          <w:sz w:val="22"/>
          <w:szCs w:val="22"/>
        </w:rPr>
        <w:t xml:space="preserve">公司提出“Tier 0.5”合作模式，参与整车厂产品定义、系统研发、同步开发和模块化供货，试图由单一零部件供应商升级为系统级、平台型供应商</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拓普集团处于汽车零部件产业链中游，属于材料成本占比高、需要持续研发和扩产的系统零部件制造商。公司通过产品平台化、跨域技术研发、同步开发、全球制造和“Tier 0.5”模式提升附加值与客户粘性，但下游整车厂集中度较高、上游大宗材料价格和电子元件成本仍会影响盈利。</w:t>
      </w:r>
    </w:p>
    <w:p>
      <w:pPr>
        <w:pStyle w:val="ListParagraph"/>
        <w:numPr>
          <w:ilvl w:val="0"/>
          <w:numId w:val="2"/>
        </w:numPr>
        <w:spacing w:after="80" w:line="280"/>
      </w:pPr>
      <w:r>
        <w:rPr>
          <w:sz w:val="22"/>
          <w:szCs w:val="22"/>
        </w:rPr>
        <w:t xml:space="preserve">主要采购和使用铝合金、钢材及相关铸造和锻造材料，用于轻量化底盘、副车架、控制臂、转向节和车身结构件等产品。公司2024年年度报告披露过铝锭采购合同，说明铝材是部分业务的重要原材料。</w:t>
      </w:r>
    </w:p>
    <w:p>
      <w:pPr>
        <w:pStyle w:val="ListParagraph"/>
        <w:numPr>
          <w:ilvl w:val="0"/>
          <w:numId w:val="2"/>
        </w:numPr>
        <w:spacing w:after="80" w:line="280"/>
      </w:pPr>
      <w:r>
        <w:rPr>
          <w:sz w:val="22"/>
          <w:szCs w:val="22"/>
        </w:rPr>
        <w:t xml:space="preserve">NVH减震产品涉及橡胶、塑料、密封件及复合材料；内饰功能件涉及塑料、纤维、地毯、胶黏剂和表面材料。</w:t>
      </w:r>
    </w:p>
    <w:p>
      <w:pPr>
        <w:pStyle w:val="ListParagraph"/>
        <w:numPr>
          <w:ilvl w:val="0"/>
          <w:numId w:val="2"/>
        </w:numPr>
        <w:spacing w:after="80" w:line="280"/>
      </w:pPr>
      <w:r>
        <w:rPr>
          <w:sz w:val="22"/>
          <w:szCs w:val="22"/>
        </w:rPr>
        <w:t xml:space="preserve">汽车电子、热管理、空气悬架和线控底盘产品需要电机、电磁阀、电子控制器、传感器、线束、泵体及其他电子元件。</w:t>
      </w:r>
    </w:p>
    <w:p>
      <w:pPr>
        <w:pStyle w:val="ListParagraph"/>
        <w:numPr>
          <w:ilvl w:val="0"/>
          <w:numId w:val="2"/>
        </w:numPr>
        <w:spacing w:after="80" w:line="280"/>
      </w:pPr>
      <w:r>
        <w:rPr>
          <w:sz w:val="22"/>
          <w:szCs w:val="22"/>
        </w:rPr>
        <w:t xml:space="preserve">生产过程涉及压铸、锻造、注塑、冲压、组装、自动化检测和数字化制造，生产设备、模具投资及折旧会影响成本。</w:t>
      </w:r>
    </w:p>
    <w:p>
      <w:pPr>
        <w:pStyle w:val="ListParagraph"/>
        <w:numPr>
          <w:ilvl w:val="0"/>
          <w:numId w:val="2"/>
        </w:numPr>
        <w:spacing w:after="80" w:line="280"/>
      </w:pPr>
      <w:r>
        <w:rPr>
          <w:sz w:val="22"/>
          <w:szCs w:val="22"/>
        </w:rPr>
        <w:t xml:space="preserve">2025年汽车零部件成本中，直接材料179.04亿元，占汽车零部件总成本79.37%；直接人工占6.16%，制造费用占14.47%，成本结构明显以材料成本为主。</w:t>
      </w:r>
    </w:p>
    <w:p>
      <w:pPr>
        <w:pStyle w:val="ListParagraph"/>
        <w:numPr>
          <w:ilvl w:val="0"/>
          <w:numId w:val="2"/>
        </w:numPr>
        <w:spacing w:after="80" w:line="280"/>
      </w:pPr>
      <w:r>
        <w:rPr>
          <w:sz w:val="22"/>
          <w:szCs w:val="22"/>
        </w:rPr>
        <w:t xml:space="preserve">公司主要通过规模化采购、技术革新、预算管理和精益生产控制成本；但对铝、钢、橡胶等大宗材料不具备绝对定价权，整体属于部分成本可管理、部分成本被动接受的中游制造商。</w:t>
      </w:r>
    </w:p>
    <w:p>
      <w:pPr>
        <w:pStyle w:val="ListParagraph"/>
        <w:numPr>
          <w:ilvl w:val="0"/>
          <w:numId w:val="2"/>
        </w:numPr>
        <w:spacing w:after="80" w:line="280"/>
      </w:pPr>
      <w:r>
        <w:rPr>
          <w:sz w:val="22"/>
          <w:szCs w:val="22"/>
        </w:rPr>
        <w:t xml:space="preserve">2025年前五大供应商采购额37.91亿元，占年度采购总额20.48%；公司披露不存在单一供应商采购比例超过50%的情况。该数据为2025年度披露口径，供应商集中度相对较低，但材料价格变化仍会直接影响毛利率。</w:t>
      </w:r>
    </w:p>
    <w:p>
      <w:pPr>
        <w:pStyle w:val="ListParagraph"/>
        <w:numPr>
          <w:ilvl w:val="0"/>
          <w:numId w:val="2"/>
        </w:numPr>
        <w:spacing w:after="80" w:line="280"/>
      </w:pPr>
      <w:r>
        <w:rPr>
          <w:sz w:val="22"/>
          <w:szCs w:val="22"/>
        </w:rPr>
        <w:t xml:space="preserve">下游客户主要为国内外整车厂，包括新能源车企、传统自主品牌和国际汽车集团。披露的合作客户包括赛力斯、小米、吉利、比亚迪、奇瑞、理想、蔚来、长城、小鹏、极氪、坦克，以及RIVIAN、福特、通用、Stellantis、宝马、奔驰、Lucid等。部分客户采用匿名表述，不能仅凭公开年报确认全部匿名客户身份。</w:t>
      </w:r>
    </w:p>
    <w:p>
      <w:pPr>
        <w:pStyle w:val="ListParagraph"/>
        <w:numPr>
          <w:ilvl w:val="0"/>
          <w:numId w:val="2"/>
        </w:numPr>
        <w:spacing w:after="80" w:line="280"/>
      </w:pPr>
      <w:r>
        <w:rPr>
          <w:sz w:val="22"/>
          <w:szCs w:val="22"/>
        </w:rPr>
        <w:t xml:space="preserve">公司已获得宝马X1全球车型及N-Car全球新能源平台订单；空气悬架产品客户包括赛力斯、小米、理想、上汽、极氪、坦克等；锻铝球头控制臂已为多家国内外客户配套。</w:t>
      </w:r>
    </w:p>
    <w:p>
      <w:pPr>
        <w:pStyle w:val="ListParagraph"/>
        <w:numPr>
          <w:ilvl w:val="0"/>
          <w:numId w:val="2"/>
        </w:numPr>
        <w:spacing w:after="80" w:line="280"/>
      </w:pPr>
      <w:r>
        <w:rPr>
          <w:sz w:val="22"/>
          <w:szCs w:val="22"/>
        </w:rPr>
        <w:t xml:space="preserve">2025年前五大客户销售额194.62亿元，占年度销售总额65.79%；公司披露不存在单一客户销售占比超过50%的情况。该数据为2025年度正式披露口径，客户集中度显著高于前五大供应商集中度。</w:t>
      </w:r>
    </w:p>
    <w:p>
      <w:pPr>
        <w:pStyle w:val="ListParagraph"/>
        <w:numPr>
          <w:ilvl w:val="0"/>
          <w:numId w:val="2"/>
        </w:numPr>
        <w:spacing w:after="80" w:line="280"/>
      </w:pPr>
      <w:r>
        <w:rPr>
          <w:sz w:val="22"/>
          <w:szCs w:val="22"/>
        </w:rPr>
        <w:t xml:space="preserve">汽车零部件行业下游议价权通常偏向整车厂，整车厂会通过年度降价、项目定点竞争、车型生命周期价格管理、质量索赔和供应商切换等方式传导成本压力。</w:t>
      </w:r>
    </w:p>
    <w:p>
      <w:pPr>
        <w:pStyle w:val="ListParagraph"/>
        <w:numPr>
          <w:ilvl w:val="0"/>
          <w:numId w:val="2"/>
        </w:numPr>
        <w:spacing w:after="80" w:line="280"/>
      </w:pPr>
      <w:r>
        <w:rPr>
          <w:sz w:val="22"/>
          <w:szCs w:val="22"/>
        </w:rPr>
        <w:t xml:space="preserve">拓普通过产品平台化、同步研发和“Tier 0.5”模式提升客户粘性，但2025年主要产品毛利率普遍下降，仍反映出客户降价、竞争加剧和新产能折旧等压力。</w:t>
      </w:r>
    </w:p>
    <w:p>
      <w:pPr>
        <w:pStyle w:val="ListParagraph"/>
        <w:numPr>
          <w:ilvl w:val="0"/>
          <w:numId w:val="2"/>
        </w:numPr>
        <w:spacing w:after="80" w:line="280"/>
      </w:pPr>
      <w:r>
        <w:rPr>
          <w:sz w:val="22"/>
          <w:szCs w:val="22"/>
        </w:rPr>
        <w:t xml:space="preserve">2025年末应收款项融资余额48.29亿元，占总资产10.99%，较2024年末26.60亿元增长81.55%，主要原因是收到银行承兑汇票增加；预付款项22.56亿元，占总资产0.51%，主要为预付材料款增加。2025年经营活动现金流净额44.82亿元，同比增长38.50%，年报解释主要系收到货款增加。上述数据显示回款能力总体较强，但业务存在较大规模票据结算和客户信用期安排。纪要未采用未经年报直接披露或交叉验证的应收账款周转天数、客户平均账期等数据；应收款项融资不能直接等同于应收账款，不能据此精确判断全部议价能力。</w:t>
      </w:r>
    </w:p>
    <w:p>
      <w:pPr>
        <w:pStyle w:val="ListParagraph"/>
        <w:numPr>
          <w:ilvl w:val="0"/>
          <w:numId w:val="2"/>
        </w:numPr>
        <w:spacing w:after="80" w:line="280"/>
      </w:pPr>
      <w:r>
        <w:rPr>
          <w:sz w:val="22"/>
          <w:szCs w:val="22"/>
        </w:rPr>
        <w:t xml:space="preserve">截至2025年度，前五大客户销售额占比65.79%，前五大供应商采购额占比20.48%，客户集中度明显高于供应商集中度。公司披露不存在单一客户销售占比超过50%、单一供应商采购比例超过50%的情况。上述集中度数据来自2025年年度报告口径；纪要未采用无法交叉验证的客户单一占比、具体客户收入或市场份额数据。</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汽车零部件整体毛利率约20.80%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未披露或纪要未提供可核验的净利率数据</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公司年报口径显示，客户年度降价、新产能折旧和产能爬坡对毛利率形成压力。</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汽车零部件整体毛利率18.04%，同比下降1.38个百分点</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未披露或纪要未提供可核验的净利率数据</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业成本增长13.14%，高于营业收入11.21%的增速；客户降价、材料及制造成本、新产能折旧和产能爬坡共同压制毛利率。汽车电子收入快速增长但仍处于放量和产能爬坡阶段，内饰、底盘、热管理等业务也受到材料成本和扩产压力影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2025年分产品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减震系统20.27%、内饰功能件16.88%、底盘系统19.14%、汽车电子16.48%、热管理系统16.34%、机器人执行器28.25%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分产品净利率未披露或纪要未提供可核验数据</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减震系统毛利率下降0.83个百分点，内饰功能件下降1.24个百分点，底盘系统下降1.28个百分点，汽车电子下降2.94个百分点，热管理系统下降0.77个百分点；主要原因包括客户降价、材料成本、设备及研发投入、新产能折旧和产能爬坡。机器人执行器收入仅1359万元，毛利率同比下降22.65个百分点，规模较小，单年度波动不宜作为成熟业务盈利能力判断依据。</w:t>
            </w:r>
          </w:p>
        </w:tc>
      </w:tr>
    </w:tbl>
    <w:p>
      <w:pPr>
        <w:spacing w:before="200"/>
      </w:pPr>
    </w:p>
    <w:p>
      <w:pPr>
        <w:spacing w:after="160" w:line="300"/>
      </w:pPr>
      <w:r>
        <w:rPr>
          <w:sz w:val="22"/>
          <w:szCs w:val="22"/>
        </w:rPr>
        <w:t xml:space="preserve">公司位于微笑曲线中游制造环节，不是上游资源型高毛利企业，也不是典型下游品牌企业。利润率进一步改善主要依赖空气悬架、汽车电子、线控制动、线控转向和智能座舱等高技术产品放量，新工厂产能利用率提升以摊薄折旧和制造费用，提高“Tier 0.5”模式下的系统集成价值和单车配套金额，以及通过海外本地化、规模采购、自动化和垂直整合降低材料、物流和供应链成本。</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141.99亿元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+9.78%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归属于上市公司股东的净利润10.23亿元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-21.03%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约75.71亿元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归属于上市公司股东的净利润约4.71亿元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-35.5%</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295.81亿元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+11.21%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归属于上市公司股东的净利润27.79亿元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-7.38%</w:t>
            </w:r>
          </w:p>
        </w:tc>
      </w:tr>
    </w:tbl>
    <w:p>
      <w:pPr>
        <w:spacing w:after="200"/>
      </w:pPr>
      <w:r>
        <w:rPr>
          <w:i/>
          <w:iCs/>
          <w:color w:val="595959"/>
          <w:sz w:val="18"/>
          <w:szCs w:val="18"/>
        </w:rPr>
        <w:t xml:space="preserve">最新已披露财报为2026年半年度报告，披露日期为2026年8月28日。2026年上半年扣非归母净利润为9.08亿元，同比下降21.87%；经营活动现金流净额为25.96亿元，同比增长5.69%；基本每股收益约0.59元。2025年扣非归母净利润为26.11亿元，同比下降4.30%；经营活动现金流净额为44.82亿元，同比增长38.50%；基本每股收益为1.61元。</w:t>
      </w:r>
    </w:p>
    <w:p>
      <w:pPr>
        <w:spacing w:after="160" w:line="300"/>
      </w:pPr>
      <w:r>
        <w:rPr>
          <w:sz w:val="22"/>
          <w:szCs w:val="22"/>
        </w:rPr>
        <w:t xml:space="preserve">公司最新基本面呈现收入增长、利润下滑。2026年上半年毛利率约18.81%，同比下降0.74个百分点；净利率约7.21%，同比下降2.81个百分点。利润承压主要与行业竞争加剧、新建及海外产能爬坡、原材料价格上涨、汇兑损失及研发投入增加有关。2026年上半年汇兑损失约1.18亿元，上年同期为汇兑收益约0.81亿元。2025年研发费用约14.96亿元，同比增长22.20%。</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同花顺统计截至2026年9月11日，过去6个月内有30家机构对2026年业绩作出预测，28家机构对2028年业绩作出预测。上述数据为各机构研报摘录汇总，不代表同花顺自身预测，也不是公司官方业绩指引。2026年归母净利润预测区间为24.72亿至37.03亿元，EPS预测区间为1.42至2.13元；2027年归母净利润预测区间为30.46亿至44.00亿元，EPS预测区间为1.75至2.53元；2028年归母净利润预测区间为34.38亿至52.88亿元，EPS预测区间为1.98至3.04元。机构最新预测普遍较此前部分研报下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2026年（同花顺机构预测均值）</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约343.37亿元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约31.20亿元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相对2025年归母净利润27.79亿元，按披露数据计算约+12.27%</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约1.80元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2027年（同花顺机构预测均值）</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约38.23亿元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相对2026年预测均值31.20亿元，按披露数据计算约+22.53%</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约2.20元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2028年（同花顺机构预测均值）</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约45.70亿元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相对2027年预测均值38.23亿元，按披露数据计算约+19.54%</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约2.63元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买入；目标价57.16元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2026年9月9日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2026—2028年营业收入预测为333.7亿、389.8亿、442.7亿元；归母净利润预测为27.81亿、35.22亿、41.33亿元；EPS预测约1.60元、2.03元、2.38元。下调预测的原因包括原材料成本上升、乘用车行业竞争加剧等。</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东方证券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买入；目标价56.70元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2026年9月6日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2026—2028年归母净利润预测为28.14亿、34.38亿、40.19亿元；EPS约为1.62元、1.98元、2.31元。指出汇兑损失、行业竞争、新建产能爬坡及原材料价格上涨对短期利润形成拖累。</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交银国际证券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买入；目标价76.35元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2026年8月31日前后</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2026—2028年营业收入预测为332.43亿、382.99亿、446.45亿元；归母净利润预测为28.53亿、37.34亿、47.07亿元。过去90天评级统计为9家买入、1家增持，目标价均值约75.67元。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优于大市</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2026年5月</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2026—2028年营业收入预测约346.1亿、415.32亿、505.45亿元；归母净利润约33.5亿、41.0亿、49.6亿元；EPS约1.93元、2.36元、2.85元。该预测早于2026年中报披露。</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华金证券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买入；目标价86.30元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2026年5月8日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发布时间较早，当时对2026年盈利预测仍较乐观。</w:t>
            </w:r>
          </w:p>
        </w:tc>
      </w:tr>
    </w:tbl>
    <w:p>
      <w:pPr>
        <w:spacing w:before="200"/>
      </w:pPr>
    </w:p>
    <w:p>
      <w:pPr>
        <w:spacing w:after="160" w:line="300"/>
      </w:pPr>
      <w:r>
        <w:rPr>
          <w:sz w:val="22"/>
          <w:szCs w:val="22"/>
        </w:rPr>
        <w:t xml:space="preserve">截至2026年9月11日收盘，股价43.10元，总市值约749.01亿元，总股本约17.38亿股。不同数据源显示静态/TTM市盈率约29.88—36.62倍，扣非市盈率约31.78倍，市净率约3.09—3.29倍；建议以区间表述为TTM PE约30—37倍、PB约3.1—3.3倍。中财网数据显示PE为29.88倍、扣非PE为31.78倍、PB为3.09倍；同期汽车制造业中位市盈率约28.33倍、扣非市盈率中位数约30.19倍。理杏仁数据显示截至2026年9月9日PE-TTM约31.81倍、PB约3.29倍，PE历史分位约42.07%，其统计的PE 50%分位约33.29倍、20%分位约28.77倍。按约749亿元市值计算，若采用同花顺机构预测均值，2026年预期PE约24.0倍；若采用华泰、东方证券预测，分别约26.9倍、26.6倍，因此2026年预期PE约24—27倍。富途截至2026年9月5日统计的机构目标价均值为73.47元，最高86.30元，最低65.67元，但该统计可能包含不同时间发布的研报，不能与9月最新下调后的目标价直接等同。当前估值不属于极低估值区间，市场对机器人执行器、液冷、汽车电子及海外产能放量速度存在较大分歧。</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2026年半年度报告披露：营收增长但归母净利润下降</w:t>
      </w:r>
    </w:p>
    <w:p>
      <w:pPr>
        <w:spacing w:after="160" w:line="300"/>
      </w:pPr>
      <w:r>
        <w:rPr>
          <w:sz w:val="22"/>
          <w:szCs w:val="22"/>
        </w:rPr>
        <w:t xml:space="preserve">2026年8月28日，公司披露《2026年半年度报告》；2026年9月10日，公告列表新增英文版《Tuopu Group Semi-annual Report 2026》。截至2026年6月30日，公司实现营业收入141.99亿元，同比增长9.78%；实现利润总额11.75亿元，同比下降19.41%；实现归属于上市公司股东的净利润10.23亿元，同比下降21.03%；实现利润及折旧摊销总额21.84亿元，同比下降4.40%。公司2026年中期利润分配方案为不分配、不转增。上述财务数据为公司正式披露数据，半年报未经审计。中文半年报披露日期、公司官网文件标注日期及英文版公告日期存在差异，建议以交易所正式披露时间为准。</w:t>
      </w:r>
    </w:p>
    <w:p>
      <w:pPr>
        <w:pStyle w:val="Heading2"/>
        <w:spacing w:after="120" w:before="240"/>
      </w:pPr>
      <w:r>
        <w:rPr>
          <w:b/>
          <w:bCs/>
          <w:color w:val="2E74B5"/>
          <w:sz w:val="24"/>
          <w:szCs w:val="24"/>
        </w:rPr>
        <w:t xml:space="preserve">4.2 公司拟召开2026年半年度业绩说明会</w:t>
      </w:r>
    </w:p>
    <w:p>
      <w:pPr>
        <w:spacing w:after="160" w:line="300"/>
      </w:pPr>
      <w:r>
        <w:rPr>
          <w:sz w:val="22"/>
          <w:szCs w:val="22"/>
        </w:rPr>
        <w:t xml:space="preserve">2026年9月8日，公司公告拟于2026年9月15日15:00—16:00通过“价值在线”举办2026年半年度业绩说明会。参会人员包括公司总裁王斌、董事会秘书王明臻、独立董事谢华君及财务总监洪铁阳。会议预计涉及上半年业绩、经营策略、机器人、海外产能及募投项目进度等事项。截至2026年9月13日，说明会尚未召开，暂未形成新的官方交流纪要或问答结论。</w:t>
      </w:r>
    </w:p>
    <w:p>
      <w:pPr>
        <w:pStyle w:val="Heading2"/>
        <w:spacing w:after="120" w:before="240"/>
      </w:pPr>
      <w:r>
        <w:rPr>
          <w:b/>
          <w:bCs/>
          <w:color w:val="2E74B5"/>
          <w:sz w:val="24"/>
          <w:szCs w:val="24"/>
        </w:rPr>
        <w:t xml:space="preserve">4.3 增加2026年度日常关联交易预计额度</w:t>
      </w:r>
    </w:p>
    <w:p>
      <w:pPr>
        <w:spacing w:after="160" w:line="300"/>
      </w:pPr>
      <w:r>
        <w:rPr>
          <w:sz w:val="22"/>
          <w:szCs w:val="22"/>
        </w:rPr>
        <w:t xml:space="preserve">2026年8月28日，公司披露《关于增加2026年度日常关联交易预计额度的公告》。交易对手方为宁海县西店清清塑料厂，属于公司董事、事业部总裁吴伟锋的关联方，交易类型为采购材料。原2026年度预计交易金额为450万元，截至公告披露日年初至今累计发生311.988507万元；本次新增预计额度300万元，调整后全年预计金额为750万元。该交易占同类材料采购业务比例约0.02%。公司称交易定价以市场价格为依据，不会导致对关联方形成较大依赖，也不会对公司财务状况及持续经营能力产生重大影响。关联董事吴伟锋回避表决，董事会以8票同意、0票反对、0票弃权审议通过，无需提交股东大会。后续需关注实际发生金额、交易价格及内部审批程序。</w:t>
      </w:r>
    </w:p>
    <w:p>
      <w:pPr>
        <w:pStyle w:val="Heading2"/>
        <w:spacing w:after="120" w:before="240"/>
      </w:pPr>
      <w:r>
        <w:rPr>
          <w:b/>
          <w:bCs/>
          <w:color w:val="2E74B5"/>
          <w:sz w:val="24"/>
          <w:szCs w:val="24"/>
        </w:rPr>
        <w:t xml:space="preserve">4.4 部分募集资金投资项目延期至2027年12月</w:t>
      </w:r>
    </w:p>
    <w:p>
      <w:pPr>
        <w:spacing w:after="160" w:line="300"/>
      </w:pPr>
      <w:r>
        <w:rPr>
          <w:sz w:val="22"/>
          <w:szCs w:val="22"/>
        </w:rPr>
        <w:t xml:space="preserve">2026年7月29日，公司披露《关于部分募集资金投资项目延期的公告》，将部分募投项目达到预定可使用状态的时间由原计划的2026年7月至8月延期至2027年12月。涉及项目包括：宁波前湾年产220万套轻量化底盘系统项目，计划总投资约15.63亿元；宁波前湾年产110万套汽车内饰功能件项目和年产130万套热管理系统项目，计划总投资约20.36亿元，募集资金拟投入4.5亿元；宁波前湾年产160万套轻量化底盘系统项目，计划总投资约11.46亿元，募集资金拟投入5亿元；泰国年产130万套热管理系统项目，计划总投资约6.48亿元，募集资金拟投入3.8亿元。截至2026年5月31日，公司向特定对象发行股票募集资金净额约34.98亿元，相关募投项目实际投入金额约17.95亿元，整体投入进度约51.30%。公司解释延期原因包括国际贸易壁垒及地缘政治因素、国内新能源汽车市场增速趋于平稳，以及泰国项目受到海外新能源补贴退坡、消费信贷收紧和客户海外车型投放计划推迟等因素影响。公司表示延期不改变项目投资总额、实施主体及募集资金用途，保荐机构招商证券对本次延期无异议。</w:t>
      </w:r>
    </w:p>
    <w:p>
      <w:pPr>
        <w:pStyle w:val="Heading2"/>
        <w:spacing w:after="120" w:before="240"/>
      </w:pPr>
      <w:r>
        <w:rPr>
          <w:b/>
          <w:bCs/>
          <w:color w:val="2E74B5"/>
          <w:sz w:val="24"/>
          <w:szCs w:val="24"/>
        </w:rPr>
        <w:t xml:space="preserve">4.5 近期未发现新的股份回购公告</w:t>
      </w:r>
    </w:p>
    <w:p>
      <w:pPr>
        <w:spacing w:after="160" w:line="300"/>
      </w:pPr>
      <w:r>
        <w:rPr>
          <w:sz w:val="22"/>
          <w:szCs w:val="22"/>
        </w:rPr>
        <w:t xml:space="preserve">截至2026年9月13日，在本次检索到的2026年7月至9月公司公告列表中，未发现新的股份回购方案、回购进展公告或回购注销公告。该结论基于上交所公告列表、公司公告页面及公告汇总页面的公开检索结果，不排除公告尚未被搜索引擎完整收录或公告标题未直接包含“回购”字样的情况。</w:t>
      </w:r>
    </w:p>
    <w:p>
      <w:pPr>
        <w:pStyle w:val="Heading2"/>
        <w:spacing w:after="120" w:before="240"/>
      </w:pPr>
      <w:r>
        <w:rPr>
          <w:b/>
          <w:bCs/>
          <w:color w:val="2E74B5"/>
          <w:sz w:val="24"/>
          <w:szCs w:val="24"/>
        </w:rPr>
        <w:t xml:space="preserve">4.6 近期未检索到实际控制人、控股股东及董监高新增增减持公告</w:t>
      </w:r>
    </w:p>
    <w:p>
      <w:pPr>
        <w:spacing w:after="160" w:line="300"/>
      </w:pPr>
      <w:r>
        <w:rPr>
          <w:sz w:val="22"/>
          <w:szCs w:val="22"/>
        </w:rPr>
        <w:t xml:space="preserve">截至2026年9月13日，未检索到2026年9月或近期新增的实际控制人、控股股东及董监高增减持公告。最近一次可检索到的重大股东变动发生于2025年8月29日至9月10日期间，邬建树及其一致行动人邬好年、宁波筑悦投资管理有限公司、宁波派舍置业有限公司合计减持拓普集团1343.0021万股，占公司总股本约0.7728%，合计持股比例由59.2548%降至58.4820%。该事项发生于2025年，不属于2026年9月近期消息。</w:t>
      </w:r>
    </w:p>
    <w:p>
      <w:pPr>
        <w:pStyle w:val="Heading2"/>
        <w:spacing w:after="120" w:before="240"/>
      </w:pPr>
      <w:r>
        <w:rPr>
          <w:b/>
          <w:bCs/>
          <w:color w:val="2E74B5"/>
          <w:sz w:val="24"/>
          <w:szCs w:val="24"/>
        </w:rPr>
        <w:t xml:space="preserve">4.7 截至2026年9月13日未发现针对公司的监管问询或处罚公告</w:t>
      </w:r>
    </w:p>
    <w:p>
      <w:pPr>
        <w:spacing w:after="160" w:line="300"/>
      </w:pPr>
      <w:r>
        <w:rPr>
          <w:sz w:val="22"/>
          <w:szCs w:val="22"/>
        </w:rPr>
        <w:t xml:space="preserve">截至2026年9月13日，在上交所监管问询栏目及公司近期公告列表中，未发现2026年9月针对601689发布的监管问询函、纪律处分或重大监管措施。该结论属于基于公开监管查询页面和近期公告列表的检索结果，不代表公司历史上不存在监管关注事项，也不排除监管信息存在滞后披露或页面检索限制。</w:t>
      </w:r>
    </w:p>
    <w:p>
      <w:pPr>
        <w:pStyle w:val="Heading2"/>
        <w:spacing w:after="120" w:before="240"/>
      </w:pPr>
      <w:r>
        <w:rPr>
          <w:b/>
          <w:bCs/>
          <w:color w:val="2E74B5"/>
          <w:sz w:val="24"/>
          <w:szCs w:val="24"/>
        </w:rPr>
        <w:t xml:space="preserve">4.8 H股发行上市事项尚未披露定价及上市进展</w:t>
      </w:r>
    </w:p>
    <w:p>
      <w:pPr>
        <w:spacing w:after="160" w:line="300"/>
      </w:pPr>
      <w:r>
        <w:rPr>
          <w:sz w:val="22"/>
          <w:szCs w:val="22"/>
        </w:rPr>
        <w:t xml:space="preserve">公司已于2026年4月1日披露向香港联交所递交境外上市股份发行并上市申请及刊发申请资料的公告，2026年3月股东会已审议相关H股发行上市事项。该事项属于境外上市融资安排，不是并购交易。截至2026年9月13日，本次检索未发现公司进一步披露H股发行定价、聆讯、上市日期或最终发行结果。</w:t>
      </w:r>
    </w:p>
    <w:p>
      <w:pPr>
        <w:pStyle w:val="Heading2"/>
        <w:spacing w:after="120" w:before="240"/>
      </w:pPr>
      <w:r>
        <w:rPr>
          <w:b/>
          <w:bCs/>
          <w:color w:val="2E74B5"/>
          <w:sz w:val="24"/>
          <w:szCs w:val="24"/>
        </w:rPr>
        <w:t xml:space="preserve">4.9 近期未发现重大并购重组公告</w:t>
      </w:r>
    </w:p>
    <w:p>
      <w:pPr>
        <w:spacing w:after="160" w:line="300"/>
      </w:pPr>
      <w:r>
        <w:rPr>
          <w:sz w:val="22"/>
          <w:szCs w:val="22"/>
        </w:rPr>
        <w:t xml:space="preserve">截至2026年9月13日，未发现2026年9月新发生的重大并购重组公告。2026年3月，公司与显鋆（上海）投资管理有限公司共同设立宁波拓为航科创业投资合伙企业，认缴出资规模约3亿元，属于产业投资或对外投资事项，而非对现有上市公司或大型标的公司的重大收购。</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股票简称及代码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拓普集团（601689），宁波拓普集团股份有限公司，上海证券交易所</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43.10元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-2.75%；较前一交易日44.32元下跌1.22元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开盘43.80元，最高43.85元，最低42.50元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约19.58万手，即约1,958万股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约8.44亿元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1.13%</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总市值及流通市值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均约749.01亿元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约42.50~86.88元；部分数据页面曾显示41.97元、42.43元或43.30元等差异值，可能与统计时点、复权口径或盘中/收盘价口径有关</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主要参考中财网口径29.88倍；按截至2026年6月30日每股收益1.44元及43.10元收盘价简单计算约29.9倍。金融界同日页面显示36.62倍，存在口径差异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近期价格表现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近20个交易日收盘价由8月14日49.51元下降至9月11日43.10元，区间跌幅约12.9%；当前收盘价距离52周低点约0.60元</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MA5约45.32元，MA10约46.01元，MA20约46.69元；价格关系为43.10元 &lt; 45.32元 &lt; 46.01元 &lt; 46.69元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收盘价低于三条均线，且呈MA5低于MA10、MA10低于MA20的短期空头排列，45.3~46.7元可能构成反弹压力带。均线为基于公开近20个交易日收盘价自行计算，可能与平台复权或计算口径存在差异</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截至2026年9月8日平台数据显示为-0.15，信号为“卖出”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指标位于零轴下方，结合9月9日至11日继续下跌，短线动能偏弱。该数据存在三天时滞，不能直接等同于9月11日收盘后的实时MACD；由于完整历史数据不足，不对9月11日数值自行推算</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基于9月11日收盘前最近14个价格变动、按简单平均涨跌幅计算约35.5</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处于偏弱区间，距离传统超卖阈值30不远，存在技术性反弹可能，但尚未达到极端超卖状态，低位RSI不能单独确认趋势反转。Investing.com截至9月8日数据显示为43.013，因计算时点及方法不同而存在差异</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20日中轨约46.69元，上轨约49.65元，下轨约43.73元；9月11日收盘43.10元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收盘价低于估算布林下轨，短线存在超跌和技术反抽可能；若不能重新站回43.7~44.0元附近，布林下轨下移可能意味着弱势趋势延续。该布林带按20日简单移动平均及总体标准差自行计算</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近期走势与成交量</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8月19日收盘50.31元、单日下跌9.00%，形成明显放量杀跌；9月7日上涨2.71%至47.06元，9月8日至11日连续四天下跌至43.10元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近期下跌过程中成交量有所回落，但9月10日和11日仍连续下跌；9月11日收盘接近当日低位，短线抛压仍然存在</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截至9月11日，超大单净流入-4,400.41万元，净占比-5.21%；大单净流入-6,736.59万元，净占比-7.98%；两者合计净流出约1.11亿元，合计净占比约-13.19%；中单净流入1,837.25万元，小单净流入9,299.74万元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表现为大资金净流出、小单资金承接，资金面偏弱。9月7日至11日五个交易日超大单及大单合计净流出约2.66亿元。该数据为第三方分类统计，不同数据商划分口径可能不同，适合观察趋势，不是交易所统一口径</w:t>
            </w:r>
          </w:p>
        </w:tc>
      </w:tr>
    </w:tbl>
    <w:p>
      <w:pPr>
        <w:spacing w:before="200"/>
      </w:pPr>
    </w:p>
    <w:p>
      <w:pPr>
        <w:spacing w:after="160" w:line="300"/>
      </w:pPr>
      <w:r>
        <w:rPr>
          <w:sz w:val="22"/>
          <w:szCs w:val="22"/>
        </w:rPr>
        <w:t xml:space="preserve">截至2026年9月11日，拓普集团股价处于52周价格区间下沿附近，近20个交易日跌幅约12.9%，收盘价低于MA5、MA10及MA20，短期均线呈空头排列。收盘价同时低于自行计算的布林下轨，RSI(14)约35.5，说明股价已明显走弱并存在技术性反弹可能，但尚不足以确认趋势反转。9月11日大单及超大单合计净流出约1.11亿元，且股价收盘接近当日低位，资金与价格信号整体偏弱。后续需重点观察42.5~43.7元支撑区域能否企稳、45.3~46.1元均线压力能否被放量收复，以及成交额放大时资金流向是否同步改善。</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风险提示：以下内容仅为基于截至2026年9月11日收盘数据、历史价格和技术指标的主观情景推演，不构成投资建议，也不构成对未来价格的保证。</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45.3~46.1元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对应MA5约45.32元及MA10约46.01元。若反弹至该区域但成交量不足，可能受到短线套牢盘及均线压制；若放量突破，短线压力观察可上移至46.6~47.8元</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主要压力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46.6~47.8元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对应MA20约46.69元及9月7日至9月9日反弹高点区域47.06~47.75元。若有效突破该区域，短线弱势结构可能得到一定修复，下一观察区可上移至49元附近</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42.5~43.7元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对应9月11日盘中低点42.50元及估算布林下轨约43.73元。若在该区域缩量企稳并重新站回43.7元附近，可能出现技术性反抽；若支撑失效，则需观察42元附近</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42.0~42.5元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对应当前52周低点附近及部分历史行情页面显示的41.97~42.43元低点区间。若有效跌破42元附近，可能打开向更低历史支撑区域运行的空间</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该权重为基于当前技术形态和资金流向的主观启发式判断，不是统计概率）：价格区间约42.5~45.5元。触发条件为股价在42.5元附近获得承接，但反弹无法有效突破45.3~46.1元，成交额维持约6亿~9亿元且主力资金净流出幅度收窄。对应含义是股价可能围绕52周低点和布林下轨反复震荡，技术指标低位修复但尚不足以确认趋势反转</w:t>
      </w:r>
    </w:p>
    <w:p>
      <w:pPr>
        <w:pStyle w:val="ListParagraph"/>
        <w:numPr>
          <w:ilvl w:val="0"/>
          <w:numId w:val="2"/>
        </w:numPr>
        <w:spacing w:after="80" w:line="280"/>
      </w:pPr>
      <w:r>
        <w:rPr>
          <w:sz w:val="22"/>
          <w:szCs w:val="22"/>
        </w:rPr>
        <w:t xml:space="preserve">偏弱下行（权重中等；为基于当前技术形态和资金流向的主观启发式判断，不是统计概率）：价格区间约40.5~42.5元。触发条件为收盘价有效跌破42.5元，且单日成交额明显高于近期约8.8亿元均值，同时超大单、大单继续出现较大规模净流出。若42.5元支撑失效，可能重新测试42元甚至更低位置，跌破支撑后的波动幅度可能放大</w:t>
      </w:r>
    </w:p>
    <w:p>
      <w:pPr>
        <w:pStyle w:val="ListParagraph"/>
        <w:numPr>
          <w:ilvl w:val="0"/>
          <w:numId w:val="2"/>
        </w:numPr>
        <w:spacing w:after="80" w:line="280"/>
      </w:pPr>
      <w:r>
        <w:rPr>
          <w:sz w:val="22"/>
          <w:szCs w:val="22"/>
        </w:rPr>
        <w:t xml:space="preserve">反弹走强（权重偏低但并非不存在；为基于当前技术形态和资金流向的主观启发式判断，不是统计概率）：价格区间约45.5~47.8元。触发条件为股价重新站上43.7~44.0元并进一步突破45.3~46.1元均线压力区，同时单日成交额持续高于近期平均水平、最好达到约10亿元以上，并伴随超大单、大单资金连续净流入。若放量收复MA5、MA10，短线可能向MA20及47元附近反弹；进一步突破47.8元，才可视为短期下降结构出现更明显修复</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约1.13%，成交额约8.44亿元；近20个交易日平均成交额按收盘价与成交量粗略估算约8.8亿元，近期成交额大致分为较低水平约5.1亿~6.0亿元、常态水平约6.5亿~8.5亿元、波动放大时约10.9亿~13.8亿元。当前流动性尚可，但9月11日大单及超大单合计净流出约1.11亿元，尚未体现明确的放量止跌信号。股东结构数据截至2026年6月30日，前十大流通股东合计持股约11.16亿股，占流通股64.20%；第一大股东迈科国际控股（香港）有限公司持股占总股本57.88%。前十大流通股东中可识别的基金、保险及境外投资者包括华夏中证机器人ETF、中国人寿传统保险产品、易方达国证机器人ETF、摩根士丹利、阿布达比投资局及天弘中证机器人ETF等；同花顺数据显示机构持仓合计约占流通股66.87%，其中基金约4.41%、保险约0.98%、QFII约0.67%，其余主要为大股东或其他机构。2026年6月30日股东户数为200,258户，较2026年3月31日增加18.34%，前十大流通股东持股比例环比下降约2.38个百分点，显示筹码相较上一季度有所分散，但名义集中度仍较高。由于股东数据距离最新股价数据已有约两个半月，不能完全反映2026年7月至9月期间的实际持仓变化；因此上述集中度和机构结构仅作滞后背景参考，不应直接推断当前最新筹码状态。</w:t>
      </w:r>
    </w:p>
    <w:p>
      <w:pPr>
        <w:spacing w:after="160" w:line="300"/>
      </w:pPr>
      <w:r>
        <w:rPr>
          <w:sz w:val="22"/>
          <w:szCs w:val="22"/>
        </w:rPr>
        <w:t xml:space="preserve">可检查的量能确认信号是：若后续单日成交额连续达到约10亿元以上，股价收盘重新站上45.3~46.1元区间，且超大单及大单资金同步转为净流入，可视为短线资金介入力度改善的观察信号；若下跌时成交额放大至10亿元以上且大单持续净流出，则更偏向风险释放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观察42.5~43.7元区域能否出现缩量企稳，不将单日盘中反弹直接视为趋势反转；以上为观察思路，非操作指令。</w:t>
      </w:r>
    </w:p>
    <w:p>
      <w:pPr>
        <w:pStyle w:val="ListParagraph"/>
        <w:numPr>
          <w:ilvl w:val="0"/>
          <w:numId w:val="2"/>
        </w:numPr>
        <w:spacing w:after="80" w:line="280"/>
      </w:pPr>
      <w:r>
        <w:rPr>
          <w:sz w:val="22"/>
          <w:szCs w:val="22"/>
        </w:rPr>
        <w:t xml:space="preserve">观察45.3~46.1元均线压力区能否被放量收复；以上为观察思路，非操作指令。</w:t>
      </w:r>
    </w:p>
    <w:p>
      <w:pPr>
        <w:pStyle w:val="ListParagraph"/>
        <w:numPr>
          <w:ilvl w:val="0"/>
          <w:numId w:val="2"/>
        </w:numPr>
        <w:spacing w:after="80" w:line="280"/>
      </w:pPr>
      <w:r>
        <w:rPr>
          <w:sz w:val="22"/>
          <w:szCs w:val="22"/>
        </w:rPr>
        <w:t xml:space="preserve">观察42.5元是否被有效跌破；若跌破且放量，关注42元附近及更低支撑；以上为观察思路，非操作指令。</w:t>
      </w:r>
    </w:p>
    <w:p>
      <w:pPr>
        <w:pStyle w:val="ListParagraph"/>
        <w:numPr>
          <w:ilvl w:val="0"/>
          <w:numId w:val="2"/>
        </w:numPr>
        <w:spacing w:after="80" w:line="280"/>
      </w:pPr>
      <w:r>
        <w:rPr>
          <w:sz w:val="22"/>
          <w:szCs w:val="22"/>
        </w:rPr>
        <w:t xml:space="preserve">观察成交额是否连续超过约10亿元，以及超大单、大单资金能否从净流出转为连续净流入；以上为观察思路，非操作指令。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汽车零部件行业呈现“整车厂集中、零部件细分分散、系统级供应商逐步集中”的格局。新能源汽车推动零部件由机械件向电控化、电子化、软件化和系统集成升级，整车厂更重视能够参与同步研发、提供模块化解决方案并完成全球交付的供应商。拓普覆盖底盘、热管理、空气悬架、汽车电子、内外饰和减震等多条产品线，受益于新能源和智能驾驶发展，同时面临国际供应商、国内专业化厂商以及整车厂自研的多重竞争。</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行业竞争关键因素包括客户认证和同步开发能力、产品质量与量产稳定性、轻量化与电子化能力、软件能力、全球制造和交付能力、成本控制及年降承受能力、资金实力和扩产能力，以及对新能源客户和海外客户的覆盖程度。</w:t>
      </w:r>
    </w:p>
    <w:p>
      <w:pPr>
        <w:pStyle w:val="ListParagraph"/>
        <w:numPr>
          <w:ilvl w:val="0"/>
          <w:numId w:val="2"/>
        </w:numPr>
        <w:spacing w:after="80" w:line="280"/>
      </w:pPr>
      <w:r>
        <w:rPr>
          <w:sz w:val="22"/>
          <w:szCs w:val="22"/>
        </w:rPr>
        <w:t xml:space="preserve">新能源汽车推动底盘、热管理、空气悬架和汽车电子等产品升级，但这些赛道同时面临传统国际供应商、国内专业化厂商和整车厂自研竞争。</w:t>
      </w:r>
    </w:p>
    <w:p>
      <w:pPr>
        <w:pStyle w:val="ListParagraph"/>
        <w:numPr>
          <w:ilvl w:val="0"/>
          <w:numId w:val="2"/>
        </w:numPr>
        <w:spacing w:after="80" w:line="280"/>
      </w:pPr>
      <w:r>
        <w:rPr>
          <w:sz w:val="22"/>
          <w:szCs w:val="22"/>
        </w:rPr>
        <w:t xml:space="preserve">系统级供应商的竞争优势逐步从单一零部件制造转向平台化产品、技术跨域、全球制造、同步研发和模块化供货。</w:t>
      </w:r>
    </w:p>
    <w:p>
      <w:pPr>
        <w:pStyle w:val="ListParagraph"/>
        <w:numPr>
          <w:ilvl w:val="0"/>
          <w:numId w:val="2"/>
        </w:numPr>
        <w:spacing w:after="80" w:line="280"/>
      </w:pPr>
      <w:r>
        <w:rPr>
          <w:sz w:val="22"/>
          <w:szCs w:val="22"/>
        </w:rPr>
        <w:t xml:space="preserve">拓普没有传统意义上的矿产、能源或自然资源储备，其主要资源体现为研发能力、客户定点、生产基地和在建产能。</w:t>
      </w:r>
    </w:p>
    <w:p>
      <w:pPr>
        <w:pStyle w:val="ListParagraph"/>
        <w:numPr>
          <w:ilvl w:val="0"/>
          <w:numId w:val="2"/>
        </w:numPr>
        <w:spacing w:after="80" w:line="280"/>
      </w:pPr>
      <w:r>
        <w:rPr>
          <w:sz w:val="22"/>
          <w:szCs w:val="22"/>
        </w:rPr>
        <w:t xml:space="preserve">截至2025年末，公司境外资产46.82亿元，占总资产10.66%；已形成中国、墨西哥、波兰、巴西、马来西亚等地的全球化生产和研发布局，并推进泰国生产基地建设。海外工厂投产初期仍可能面临人工、管理、物流、质量认证和产能爬坡成本。</w:t>
      </w:r>
    </w:p>
    <w:p>
      <w:pPr>
        <w:pStyle w:val="ListParagraph"/>
        <w:numPr>
          <w:ilvl w:val="0"/>
          <w:numId w:val="2"/>
        </w:numPr>
        <w:spacing w:after="80" w:line="280"/>
      </w:pPr>
      <w:r>
        <w:rPr>
          <w:sz w:val="22"/>
          <w:szCs w:val="22"/>
        </w:rPr>
        <w:t xml:space="preserve">公司披露空气悬架产能预计2026年提升至约150万套，该数字属于2026年规划或预计，不是截至2025年12月31日已经完全达产的实际产能。</w:t>
      </w:r>
    </w:p>
    <w:p>
      <w:pPr>
        <w:pStyle w:val="ListParagraph"/>
        <w:numPr>
          <w:ilvl w:val="0"/>
          <w:numId w:val="2"/>
        </w:numPr>
        <w:spacing w:after="80" w:line="280"/>
      </w:pPr>
      <w:r>
        <w:rPr>
          <w:sz w:val="22"/>
          <w:szCs w:val="22"/>
        </w:rPr>
        <w:t xml:space="preserve">2025年前五大客户销售额占比65.79%，客户集中度较高；公司未披露统一口径的各类产品全球市场份额，竞争地位主要依据产品覆盖、客户定点、产能布局和研发能力判断。</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华域汽车（600741）</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综合型大型汽车零部件集团</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产品覆盖内外饰、金属成型、功能件、电子电器、热加工和新能源等领域；2024年主营业务收入1586.39亿元，内外饰件收入1193.57亿元。规模和产品覆盖明显大于拓普，适合作为综合性规模供应商对标，非完全同质化竞争对手。</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银轮股份（002126）</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热管理专业供应商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产品覆盖商用车及非道路热管理、乘用车和新能源热管理、发动机后处理、工业和民用换热等；与拓普主要在新能源热管理领域竞争，整体商业模式不完全相同。</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保隆科技（603197）</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汽车电子、TPMS、空气悬架、轻量化和底盘专业供应商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与拓普的直接重叠领域包括空气悬架、底盘零部件、轻量化和汽车电子；保隆科技偏细分技术和电子化产品，拓普偏多产品平台、底盘系统集成和大客户同步开发。</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旭升集团（603305）</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新能源汽车轻量化铝合金零部件供应商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聚焦铝合金压铸、锻造、挤压等工艺，产品涉及汽车结构件、动力系统和三电系统；与拓普主要重叠于轻量化车身、铝合金底盘和新能源结构件。</w:t>
            </w:r>
          </w:p>
        </w:tc>
      </w:tr>
    </w:tbl>
    <w:p>
      <w:pPr>
        <w:spacing w:before="200"/>
      </w:pPr>
    </w:p>
    <w:p>
      <w:pPr>
        <w:spacing w:after="160" w:line="300"/>
      </w:pPr>
      <w:r>
        <w:rPr>
          <w:sz w:val="22"/>
          <w:szCs w:val="22"/>
        </w:rPr>
        <w:t xml:space="preserve">拓普集团是平台型、系统型零部件供应商，覆盖底盘、内饰、减震、热管理、汽车电子和空气悬架，核心特点是产品组合广、系统集成能力和“Tier 0.5”模式。华域汽车优势在规模、客户覆盖和内外饰系统集成；银轮股份优势在换热器和新能源热管理；保隆科技优势在TPMS、汽车电子、空气悬架和底盘细分技术；旭升集团优势在铝合金压铸、锻造和挤压工艺。拓普的相对优势在于多产品平台、底盘系统集成、同步开发和全球制造布局，但盈利仍受到整车厂议价、客户集中度、材料价格和新产能爬坡影响。</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客户集中度较高：2025年前五大客户销售额占年度销售总额65.79%，整车厂可能通过年度降价、车型生命周期价格管理、质量索赔或供应商切换向公司传导压力，单一或主要客户项目变化可能对收入和利润产生较大影响。</w:t>
      </w:r>
    </w:p>
    <w:p>
      <w:pPr>
        <w:pStyle w:val="ListParagraph"/>
        <w:numPr>
          <w:ilvl w:val="0"/>
          <w:numId w:val="2"/>
        </w:numPr>
        <w:spacing w:after="80" w:line="280"/>
      </w:pPr>
      <w:r>
        <w:rPr>
          <w:sz w:val="22"/>
          <w:szCs w:val="22"/>
        </w:rPr>
        <w:t xml:space="preserve">毛利率持续下行风险：2025年汽车零部件整体毛利率降至18.04%，同比下降1.38个百分点；内饰功能件、底盘系统、汽车电子和热管理等主要产品毛利率均受到客户降价、材料成本、新产能折旧及产能爬坡影响，收入增长未必同步转化为利润增长。</w:t>
      </w:r>
    </w:p>
    <w:p>
      <w:pPr>
        <w:pStyle w:val="ListParagraph"/>
        <w:numPr>
          <w:ilvl w:val="0"/>
          <w:numId w:val="2"/>
        </w:numPr>
        <w:spacing w:after="80" w:line="280"/>
      </w:pPr>
      <w:r>
        <w:rPr>
          <w:sz w:val="22"/>
          <w:szCs w:val="22"/>
        </w:rPr>
        <w:t xml:space="preserve">原材料成本风险：2025年汽车零部件直接材料成本179.04亿元，占总成本79.37%，铝合金、钢材、橡胶、塑料及电子元件价格变化会直接影响盈利，而公司在产业链中游，对主要材料缺乏绝对定价权。</w:t>
      </w:r>
    </w:p>
    <w:p>
      <w:pPr>
        <w:pStyle w:val="ListParagraph"/>
        <w:numPr>
          <w:ilvl w:val="0"/>
          <w:numId w:val="2"/>
        </w:numPr>
        <w:spacing w:after="80" w:line="280"/>
      </w:pPr>
      <w:r>
        <w:rPr>
          <w:sz w:val="22"/>
          <w:szCs w:val="22"/>
        </w:rPr>
        <w:t xml:space="preserve">产能建设和项目延期风险：宁波前湾轻量化底盘、内饰及热管理项目，以及泰国热管理项目的达产时间均延期至2027年12月；若市场需求、客户车型投放或海外经营环境继续变化，可能导致产能利用率不足、折旧摊销增加和资本开支回报低于预期。</w:t>
      </w:r>
    </w:p>
    <w:p>
      <w:pPr>
        <w:pStyle w:val="ListParagraph"/>
        <w:numPr>
          <w:ilvl w:val="0"/>
          <w:numId w:val="2"/>
        </w:numPr>
        <w:spacing w:after="80" w:line="280"/>
      </w:pPr>
      <w:r>
        <w:rPr>
          <w:sz w:val="22"/>
          <w:szCs w:val="22"/>
        </w:rPr>
        <w:t xml:space="preserve">海外经营风险：公司已在墨西哥、波兰、巴西、马来西亚等地布局，并推进泰国生产基地建设，但海外项目可能受到国际贸易壁垒、地缘政治、海外补贴退坡、人工及物流成本、质量认证和管理协同等因素影响。2026年上半年汇兑损失约1.18亿元，也对当期利润形成拖累。</w:t>
      </w:r>
    </w:p>
    <w:p>
      <w:pPr>
        <w:pStyle w:val="ListParagraph"/>
        <w:numPr>
          <w:ilvl w:val="0"/>
          <w:numId w:val="2"/>
        </w:numPr>
        <w:spacing w:after="80" w:line="280"/>
      </w:pPr>
      <w:r>
        <w:rPr>
          <w:sz w:val="22"/>
          <w:szCs w:val="22"/>
        </w:rPr>
        <w:t xml:space="preserve">下游竞争与技术替代风险：空气悬架、汽车电子、热管理、线控制动和线控转向等领域同时面临国际供应商、国内专业化厂商及整车厂自研竞争；若公司技术迭代、质量稳定性或客户定点进度不及预期，可能影响新业务放量和平台化战略兑现。</w:t>
      </w:r>
    </w:p>
    <w:p>
      <w:pPr>
        <w:pStyle w:val="ListParagraph"/>
        <w:numPr>
          <w:ilvl w:val="0"/>
          <w:numId w:val="2"/>
        </w:numPr>
        <w:spacing w:after="80" w:line="280"/>
      </w:pPr>
      <w:r>
        <w:rPr>
          <w:sz w:val="22"/>
          <w:szCs w:val="22"/>
        </w:rPr>
        <w:t xml:space="preserve">应收及票据结算风险：2025年末应收款项融资余额48.29亿元，同比增长81.55%，主要与银行承兑汇票增加有关；虽然2025年经营活动现金流净额同比增长38.50%，但较大规模票据结算和客户信用期安排仍需关注回款质量及资金占用变化。</w:t>
      </w:r>
    </w:p>
    <w:p>
      <w:pPr>
        <w:pStyle w:val="ListParagraph"/>
        <w:numPr>
          <w:ilvl w:val="0"/>
          <w:numId w:val="2"/>
        </w:numPr>
        <w:spacing w:after="80" w:line="280"/>
      </w:pPr>
      <w:r>
        <w:rPr>
          <w:sz w:val="22"/>
          <w:szCs w:val="22"/>
        </w:rPr>
        <w:t xml:space="preserve">估值与股价波动风险：截至2026年9月11日，公司TTM市盈率约30—37倍，股价近20个交易日下跌约12.9%，大单及超大单资金持续净流出；若业绩预测继续下调或新业务放量低于预期，估值消化和股价波动压力可能加大。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拓普集团的核心成长逻辑在于从单一零部件制造向多产品、系统级和平台型供应商升级。底盘、空气悬架、热管理及汽车电子等产品具备新能源和智能化转型带来的需求空间，研发投入、客户同步开发能力、全球制造布局及“Tier 0.5”合作模式有助于提升客户粘性和单车配套能力。机器人执行器已实现商业化收入，但2025年收入仅1359万元，仍处于早期阶段，短期不宜作为成熟业务的主要盈利支柱。</w:t>
      </w:r>
    </w:p>
    <w:p>
      <w:pPr>
        <w:spacing w:after="160" w:line="300"/>
      </w:pPr>
      <w:r>
        <w:rPr>
          <w:sz w:val="22"/>
          <w:szCs w:val="22"/>
        </w:rPr>
        <w:t xml:space="preserve">短期业绩修复的关键在于新建及海外产能爬坡、募投项目推进、材料和制造成本控制，以及客户降价压力能否缓解。部分宁波前湾项目和泰国热管理项目已延期至2027年12月，反映国内新能源汽车增速放缓、海外补贴退坡、贸易壁垒及客户车型投放延迟等因素对产能释放节奏的影响。机构预测仍预计2026—2028年净利润逐步增长，但近期预测普遍较此前下调，预测区间也较宽，未来兑现程度取决于利润率而不仅是收入增长。</w:t>
      </w:r>
    </w:p>
    <w:p>
      <w:pPr>
        <w:spacing w:after="160" w:line="300"/>
      </w:pPr>
      <w:r>
        <w:rPr>
          <w:sz w:val="22"/>
          <w:szCs w:val="22"/>
        </w:rPr>
        <w:t xml:space="preserve">综合来看，公司具备较清晰的产品扩张和平台化发展方向，但当前处于收入扩张与盈利承压并存阶段。后续应重点跟踪汽车电子、空气悬架和热管理等业务的放量及毛利率变化，观察海外工厂和募投项目的实际利用率，以及经营现金流、客户集中度和材料成本变化；股价层面则需关注42.5—43.7元区域支撑和45.3—46.1元均线压力的演变，但技术指标仅反映阶段性交易状态，不能替代对公司基本面的判断。</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拓普集团(601689)_公司公告_拓普集团：2025年年度报告摘要新浪财经_新浪网 — https://money.finance.sina.com.cn/corp/view/vCB_AllBulletinDetail.php?id=12012706&amp;stockid=601689</w:t>
      </w:r>
    </w:p>
    <w:p>
      <w:pPr>
        <w:spacing w:after="200"/>
      </w:pPr>
      <w:r>
        <w:rPr>
          <w:i/>
          <w:iCs/>
          <w:color w:val="595959"/>
          <w:sz w:val="18"/>
          <w:szCs w:val="18"/>
        </w:rPr>
        <w:t xml:space="preserve">宁波拓普集团股份有限公司2025年年度报告 — https://www.tuopu.com/wp-content/uploads/2026/03/%E6%8B%93%E6%99%AE%E9%9B%86%E5%9B%A22025%E5%B9%B4%E5%B9%B4%E5%BA%A6%E6%8A%A5%E5%91%8A.pdf</w:t>
      </w:r>
    </w:p>
    <w:p>
      <w:pPr>
        <w:spacing w:after="200"/>
      </w:pPr>
      <w:r>
        <w:rPr>
          <w:i/>
          <w:iCs/>
          <w:color w:val="595959"/>
          <w:sz w:val="18"/>
          <w:szCs w:val="18"/>
        </w:rPr>
        <w:t xml:space="preserve">宁波拓普集团股份有限公司2024年年度报告 — https://stockn.xueqiu.com/SH601689/20250423322539.pdf</w:t>
      </w:r>
    </w:p>
    <w:p>
      <w:pPr>
        <w:spacing w:after="200"/>
      </w:pPr>
      <w:r>
        <w:rPr>
          <w:i/>
          <w:iCs/>
          <w:color w:val="595959"/>
          <w:sz w:val="18"/>
          <w:szCs w:val="18"/>
        </w:rPr>
        <w:t xml:space="preserve">华域汽车系统股份有限公司2024年年度报告 — https://www.hasco-group.com/uploads/20250429095502/f.pdf?utm_source=openai</w:t>
      </w:r>
    </w:p>
    <w:p>
      <w:pPr>
        <w:spacing w:after="200"/>
      </w:pPr>
      <w:r>
        <w:rPr>
          <w:i/>
          <w:iCs/>
          <w:color w:val="595959"/>
          <w:sz w:val="18"/>
          <w:szCs w:val="18"/>
        </w:rPr>
        <w:t xml:space="preserve">银轮股份(002126)_公司公告_银轮股份：2024年年度报告新浪财经_新浪网 — https://vip.stock.finance.sina.com.cn/corp/view/vCB_AllBulletinDetail.php?id=10908777&amp;stockid=002126&amp;utm_source=openai</w:t>
      </w:r>
    </w:p>
    <w:p>
      <w:pPr>
        <w:spacing w:after="200"/>
      </w:pPr>
      <w:r>
        <w:rPr>
          <w:i/>
          <w:iCs/>
          <w:color w:val="595959"/>
          <w:sz w:val="18"/>
          <w:szCs w:val="18"/>
        </w:rPr>
        <w:t xml:space="preserve">上海保隆汽车科技股份有限公司2024年年度报告 — https://www.baolong.biz/upload/files/%E4%BF%9D%E9%9A%86%E7%A7%91%E6%8A%802024%E5%B9%B4%E5%B9%B4%E5%BA%A6%E6%8A%A5%E5%91%8A.pdf?utm_source=openai</w:t>
      </w:r>
    </w:p>
    <w:p>
      <w:pPr>
        <w:spacing w:after="200"/>
      </w:pPr>
      <w:r>
        <w:rPr>
          <w:i/>
          <w:iCs/>
          <w:color w:val="595959"/>
          <w:sz w:val="18"/>
          <w:szCs w:val="18"/>
        </w:rPr>
        <w:t xml:space="preserve">旭升集团　　　　　　　　　　　　　　　　　　　　　　　　　　　　　　募集说明书 — https://static.cninfo.com.cn/finalpage/2024-06-12/1220324753.PDF?utm_source=openai</w:t>
      </w:r>
    </w:p>
    <w:p>
      <w:pPr>
        <w:spacing w:after="200"/>
      </w:pPr>
      <w:r>
        <w:rPr>
          <w:i/>
          <w:iCs/>
          <w:color w:val="595959"/>
          <w:sz w:val="18"/>
          <w:szCs w:val="18"/>
        </w:rPr>
        <w:t xml:space="preserve">拓普集团(601689)_股票行情，行情首页_中财网 — https://quote.cfi.cn/quote.aspx?stockid=19622</w:t>
      </w:r>
    </w:p>
    <w:p>
      <w:pPr>
        <w:spacing w:after="200"/>
      </w:pPr>
      <w:r>
        <w:rPr>
          <w:i/>
          <w:iCs/>
          <w:color w:val="595959"/>
          <w:sz w:val="18"/>
          <w:szCs w:val="18"/>
        </w:rPr>
        <w:t xml:space="preserve">拓普集团(601689)_公司公告_拓普集团：2026年半年度报告摘要新浪财经_新浪网 — https://money.finance.sina.com.cn/corp/view/vCB_AllBulletinDetail.php?id=12562167&amp;stockid=601689&amp;utm_source=openai</w:t>
      </w:r>
    </w:p>
    <w:p>
      <w:pPr>
        <w:spacing w:after="200"/>
      </w:pPr>
      <w:r>
        <w:rPr>
          <w:i/>
          <w:iCs/>
          <w:color w:val="595959"/>
          <w:sz w:val="18"/>
          <w:szCs w:val="18"/>
        </w:rPr>
        <w:t xml:space="preserve">拓普集团(601689) 盈利预测_F10_同花顺金融服务网 — https://basic.10jqka.com.cn/48/601689/worth.html</w:t>
      </w:r>
    </w:p>
    <w:p>
      <w:pPr>
        <w:spacing w:after="200"/>
      </w:pPr>
      <w:r>
        <w:rPr>
          <w:i/>
          <w:iCs/>
          <w:color w:val="595959"/>
          <w:sz w:val="18"/>
          <w:szCs w:val="18"/>
        </w:rPr>
        <w:t xml:space="preserve">拓普集团(601689)2026年中报点评：盈利能力短期承压 新兴业务加快落地__新浪财经_新浪网 — https://stock.finance.sina.com.cn/stock/go.php/vReport_Show/kind/search/rptid/842044438523/index.phtml?utm_source=openai</w:t>
      </w:r>
    </w:p>
    <w:p>
      <w:pPr>
        <w:spacing w:after="200"/>
      </w:pPr>
      <w:r>
        <w:rPr>
          <w:i/>
          <w:iCs/>
          <w:color w:val="595959"/>
          <w:sz w:val="18"/>
          <w:szCs w:val="18"/>
        </w:rPr>
        <w:t xml:space="preserve">拓普集团(601689)_公司公告_拓普集团：2025年年度报告新浪财经_新浪网 — https://money.finance.sina.com.cn/corp/view/vCB_AllBulletinDetail.php?id=12012707&amp;stockid=601689&amp;utm_source=openai</w:t>
      </w:r>
    </w:p>
    <w:p>
      <w:pPr>
        <w:spacing w:after="200"/>
      </w:pPr>
      <w:r>
        <w:rPr>
          <w:i/>
          <w:iCs/>
          <w:color w:val="595959"/>
          <w:sz w:val="18"/>
          <w:szCs w:val="18"/>
        </w:rPr>
        <w:t xml:space="preserve">公司公告_拓普集团：2025年年度报告新浪财经_新浪网 — https://vip.stock.finance.sina.com.cn/corp/view/vCB_AllBulletinDetail.php?id=12012707&amp;utm_source=openai</w:t>
      </w:r>
    </w:p>
    <w:p>
      <w:pPr>
        <w:spacing w:after="200"/>
      </w:pPr>
      <w:r>
        <w:rPr>
          <w:i/>
          <w:iCs/>
          <w:color w:val="595959"/>
          <w:sz w:val="18"/>
          <w:szCs w:val="18"/>
        </w:rPr>
        <w:t xml:space="preserve">拓普集团(601689) 盈利预测_F10_同花顺金融服务网 — https://basic.10jqka.com.cn/48/601689/worth.html?utm_source=openai</w:t>
      </w:r>
    </w:p>
    <w:p>
      <w:pPr>
        <w:spacing w:after="200"/>
      </w:pPr>
      <w:r>
        <w:rPr>
          <w:i/>
          <w:iCs/>
          <w:color w:val="595959"/>
          <w:sz w:val="18"/>
          <w:szCs w:val="18"/>
        </w:rPr>
        <w:t xml:space="preserve">交银国际证券：给予拓普集团买入评级，目标价76.35元_股票频道_证券之星 — https://stock.stockstar.com/RB2026090100006434.shtml?utm_source=openai</w:t>
      </w:r>
    </w:p>
    <w:p>
      <w:pPr>
        <w:spacing w:after="200"/>
      </w:pPr>
      <w:r>
        <w:rPr>
          <w:i/>
          <w:iCs/>
          <w:color w:val="595959"/>
          <w:sz w:val="18"/>
          <w:szCs w:val="18"/>
        </w:rPr>
        <w:t xml:space="preserve">https://reportify.cn/reports/1249423647689543680?utm_source=openai — https://reportify.cn/reports/1249423647689543680?utm_source=openai</w:t>
      </w:r>
    </w:p>
    <w:p>
      <w:pPr>
        <w:spacing w:after="200"/>
      </w:pPr>
      <w:r>
        <w:rPr>
          <w:i/>
          <w:iCs/>
          <w:color w:val="595959"/>
          <w:sz w:val="18"/>
          <w:szCs w:val="18"/>
        </w:rPr>
        <w:t xml:space="preserve">拓普集团 (601689)股票预测和分析师评级 - 富途牛牛 — https://www.futunn.com/stock/601689-SH/forecast?utm_source=openai</w:t>
      </w:r>
    </w:p>
    <w:p>
      <w:pPr>
        <w:spacing w:after="200"/>
      </w:pPr>
      <w:r>
        <w:rPr>
          <w:i/>
          <w:iCs/>
          <w:color w:val="595959"/>
          <w:sz w:val="18"/>
          <w:szCs w:val="18"/>
        </w:rPr>
        <w:t xml:space="preserve">拓普集团(601689)市盈率|估值|基本面 - 理杏仁 — https://www.lixinger.com/equity/company/detail/sh/601689/601689/fundamental/valuation/pe-ttm?utm_source=openai</w:t>
      </w:r>
    </w:p>
    <w:p>
      <w:pPr>
        <w:spacing w:after="200"/>
      </w:pPr>
      <w:r>
        <w:rPr>
          <w:i/>
          <w:iCs/>
          <w:color w:val="595959"/>
          <w:sz w:val="18"/>
          <w:szCs w:val="18"/>
        </w:rPr>
        <w:t xml:space="preserve">投资者关系 – 拓普·科技平台型企业 — https://www.tuopu.com/information/</w:t>
      </w:r>
    </w:p>
    <w:p>
      <w:pPr>
        <w:spacing w:after="200"/>
      </w:pPr>
      <w:r>
        <w:rPr>
          <w:i/>
          <w:iCs/>
          <w:color w:val="595959"/>
          <w:sz w:val="18"/>
          <w:szCs w:val="18"/>
        </w:rPr>
        <w:t xml:space="preserve">宁波拓普集团股份有限公司2026年半年度报告 — https://static.cninfo.com.cn/finalpage/2026-08-28/1225521853.PDF?utm_source=openai</w:t>
      </w:r>
    </w:p>
    <w:p>
      <w:pPr>
        <w:spacing w:after="200"/>
      </w:pPr>
      <w:r>
        <w:rPr>
          <w:i/>
          <w:iCs/>
          <w:color w:val="595959"/>
          <w:sz w:val="18"/>
          <w:szCs w:val="18"/>
        </w:rPr>
        <w:t xml:space="preserve">static.sse.com.cn — https://static.sse.com.cn/disclosure/listedinfo/announcement/c/new/2026-09-08/601689_20260908_HPU5.pdf</w:t>
      </w:r>
    </w:p>
    <w:p>
      <w:pPr>
        <w:spacing w:after="200"/>
      </w:pPr>
      <w:r>
        <w:rPr>
          <w:i/>
          <w:iCs/>
          <w:color w:val="595959"/>
          <w:sz w:val="18"/>
          <w:szCs w:val="18"/>
        </w:rPr>
        <w:t xml:space="preserve">拓普集团(601689)_公司公告_拓普集团：关于增加2026年度日常关联交易预计额度的公告新浪财经_新浪网 — https://money.finance.sina.com.cn/corp/view/vCB_AllBulletinDetail.php?id=12562170&amp;stockid=601689&amp;utm_source=openai</w:t>
      </w:r>
    </w:p>
    <w:p>
      <w:pPr>
        <w:spacing w:after="200"/>
      </w:pPr>
      <w:r>
        <w:rPr>
          <w:i/>
          <w:iCs/>
          <w:color w:val="595959"/>
          <w:sz w:val="18"/>
          <w:szCs w:val="18"/>
        </w:rPr>
        <w:t xml:space="preserve">证券代码：601689　　证券简称：拓普集团　　公告编号：2026-048 — https://static.cninfo.com.cn/finalpage/2026-07-29/1225444474.PDF?utm_source=openai</w:t>
      </w:r>
    </w:p>
    <w:p>
      <w:pPr>
        <w:spacing w:after="200"/>
      </w:pPr>
      <w:r>
        <w:rPr>
          <w:i/>
          <w:iCs/>
          <w:color w:val="595959"/>
          <w:sz w:val="18"/>
          <w:szCs w:val="18"/>
        </w:rPr>
        <w:t xml:space="preserve">拓普集团(601689)公告(全部) - 理杏仁 — https://www.lixinger.com/equity/company/detail/sh/601689/601689/announcement</w:t>
      </w:r>
    </w:p>
    <w:p>
      <w:pPr>
        <w:spacing w:after="200"/>
      </w:pPr>
      <w:r>
        <w:rPr>
          <w:i/>
          <w:iCs/>
          <w:color w:val="595959"/>
          <w:sz w:val="18"/>
          <w:szCs w:val="18"/>
        </w:rPr>
        <w:t xml:space="preserve">证券代码：601689 — https://big5.sse.com.cn/site/cht/www.sse.com.cn/disclosure/listedinfo/announcement/c/new/2025-09-11/601689_20250911_4IW1.pdf?utm_source=openai</w:t>
      </w:r>
    </w:p>
    <w:p>
      <w:pPr>
        <w:spacing w:after="200"/>
      </w:pPr>
      <w:r>
        <w:rPr>
          <w:i/>
          <w:iCs/>
          <w:color w:val="595959"/>
          <w:sz w:val="18"/>
          <w:szCs w:val="18"/>
        </w:rPr>
        <w:t xml:space="preserve">监管问询 | 上海证券交易所 — https://www.sse.com.cn/disclosure/credibility/supervision/inquiries/?utm_source=openai</w:t>
      </w:r>
    </w:p>
    <w:p>
      <w:pPr>
        <w:spacing w:after="200"/>
      </w:pPr>
      <w:r>
        <w:rPr>
          <w:i/>
          <w:iCs/>
          <w:color w:val="595959"/>
          <w:sz w:val="18"/>
          <w:szCs w:val="18"/>
        </w:rPr>
        <w:t xml:space="preserve">static.sse.com.cn — https://static.sse.com.cn/disclosure/listedinfo/announcement/c/new/2026-04-01/601689_20260401_AF1N.pdf</w:t>
      </w:r>
    </w:p>
    <w:p>
      <w:pPr>
        <w:spacing w:after="200"/>
      </w:pPr>
      <w:r>
        <w:rPr>
          <w:i/>
          <w:iCs/>
          <w:color w:val="595959"/>
          <w:sz w:val="18"/>
          <w:szCs w:val="18"/>
        </w:rPr>
        <w:t xml:space="preserve">拓普集团(601689)并购重组_证券之星 — https://stock.quote.stockstar.com/corp/restructure_601689.shtml?utm_source=openai</w:t>
      </w:r>
    </w:p>
    <w:p>
      <w:pPr>
        <w:spacing w:after="200"/>
      </w:pPr>
      <w:r>
        <w:rPr>
          <w:i/>
          <w:iCs/>
          <w:color w:val="595959"/>
          <w:sz w:val="18"/>
          <w:szCs w:val="18"/>
        </w:rPr>
        <w:t xml:space="preserve">Ningbo Tuopu Group Co Ltd (601689) 過去データ - Investing.com — https://jp.investing.com/equities/ningbo-tuopu-group-co-ltd-historical-data?utm_source=openai</w:t>
      </w:r>
    </w:p>
    <w:p>
      <w:pPr>
        <w:spacing w:after="200"/>
      </w:pPr>
      <w:r>
        <w:rPr>
          <w:i/>
          <w:iCs/>
          <w:color w:val="595959"/>
          <w:sz w:val="18"/>
          <w:szCs w:val="18"/>
        </w:rPr>
        <w:t xml:space="preserve">Ningbo Tuopu Group Co Ltd (601689)歷史價格 - Investing.com — https://hk.investing.com/equities/ningbo-tuopu-group-co-ltd-historical-data</w:t>
      </w:r>
    </w:p>
    <w:p>
      <w:pPr>
        <w:spacing w:after="200"/>
      </w:pPr>
      <w:r>
        <w:rPr>
          <w:i/>
          <w:iCs/>
          <w:color w:val="595959"/>
          <w:sz w:val="18"/>
          <w:szCs w:val="18"/>
        </w:rPr>
        <w:t xml:space="preserve">拓普集团(601689)股票行情走势技术分析_未来预测_买卖操作建议_英为财情Investing.com — https://cn.investing.com/equities/ningbo-tuopu-group-co-ltd-technical</w:t>
      </w:r>
    </w:p>
    <w:p>
      <w:pPr>
        <w:spacing w:after="200"/>
      </w:pPr>
      <w:r>
        <w:rPr>
          <w:i/>
          <w:iCs/>
          <w:color w:val="595959"/>
          <w:sz w:val="18"/>
          <w:szCs w:val="18"/>
        </w:rPr>
        <w:t xml:space="preserve">拓普集团(601689)_资金流向_证券之星 — https://stock.quote.stockstar.com/capital_601689.shtml?utm_source=openai</w:t>
      </w:r>
    </w:p>
    <w:p>
      <w:pPr>
        <w:spacing w:after="200"/>
      </w:pPr>
      <w:r>
        <w:rPr>
          <w:i/>
          <w:iCs/>
          <w:color w:val="595959"/>
          <w:sz w:val="18"/>
          <w:szCs w:val="18"/>
        </w:rPr>
        <w:t xml:space="preserve">拓普集团(601689)_公司公告_拓普集团：2026年半年度报告新浪财经_新浪网 — https://money.finance.sina.com.cn/corp/view/vCB_AllBulletinDetail.php?id=12562168&amp;stockid=601689&amp;utm_source=openai</w:t>
      </w:r>
    </w:p>
    <w:p>
      <w:pPr>
        <w:spacing w:after="200"/>
      </w:pPr>
      <w:r>
        <w:rPr>
          <w:i/>
          <w:iCs/>
          <w:color w:val="595959"/>
          <w:sz w:val="18"/>
          <w:szCs w:val="18"/>
        </w:rPr>
        <w:t xml:space="preserve">拓普集团(601689) 最新动态_F10_同花顺金融服务网 — https://basic.10jqka.com.cn/601689/?utm_source=openai</w:t>
      </w:r>
    </w:p>
    <w:p>
      <w:pPr>
        <w:spacing w:after="200"/>
      </w:pPr>
      <w:r>
        <w:rPr>
          <w:i/>
          <w:iCs/>
          <w:color w:val="595959"/>
          <w:sz w:val="18"/>
          <w:szCs w:val="18"/>
        </w:rPr>
        <w:t xml:space="preserve">拓普集团(601689) - 流通股股东 - 股票行情中心 - 搜狐证券 — https://q.stock.sohu.com/cn/601689/ltgd.shtml?utm_source=openai</w:t>
      </w:r>
    </w:p>
    <w:p>
      <w:pPr>
        <w:spacing w:after="200"/>
      </w:pPr>
      <w:r>
        <w:rPr>
          <w:i/>
          <w:iCs/>
          <w:color w:val="595959"/>
          <w:sz w:val="18"/>
          <w:szCs w:val="18"/>
        </w:rPr>
        <w:t xml:space="preserve">本报告由AI基于公开渠道信息自动检索、整理并生成，信息截至 截至2026年9月11日收盘；当前日期为2026年9月13日，9月12日至13日为周末，最近交易日为9月11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2026-09-13T11:43:00.481Z</dcterms:created>
  <dcterms:modified xsi:type="dcterms:W3CDTF">2026-09-13T11:43:00.481Z</dcterms:modified>
</cp:coreProperties>
</file>

<file path=docProps/custom.xml><?xml version="1.0" encoding="utf-8"?>
<Properties xmlns="http://schemas.openxmlformats.org/officeDocument/2006/custom-properties" xmlns:vt="http://schemas.openxmlformats.org/officeDocument/2006/docPropsVTypes"/>
</file>