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上海电气集团股份有限公司 (601727)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行业：能源装备与工业装备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报告日期：2026年10月14日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行情截至2026-10-13收盘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核心结论：收入增长尚未转化为扣非改善，估值仍需盈利兑现支撑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6.46元（-0.15%）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约1003.89亿元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74.06倍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1.81倍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6.32～11.21元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1.90~7.36亿元 / 0.23%~0.88%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行情数据截至：2026-10-13收盘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收入和归母利润增长，扣非改善仍弱</w:t>
      </w:r>
      <w:r>
        <w:rPr>
          <w:sz w:val="22"/>
          <w:szCs w:val="22"/>
        </w:rPr>
        <w:t xml:space="preserve">：2026H1收入、归母净利分别增长16.63%、18.18%，扣非仅增0.82%；单季度扣非同比下降22.70%。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能源装备扩张是增长主引擎，但利润率承压</w:t>
      </w:r>
      <w:r>
        <w:rPr>
          <w:sz w:val="22"/>
          <w:szCs w:val="22"/>
        </w:rPr>
        <w:t xml:space="preserve">：2025年能源装备收入增长21.5%、占三项分部收入约56.1%，但毛利率同比下降1.3个百分点；工业装备、集成服务收入分别下降1.5%、0.4%。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股价处低位区间，估值仍高于多数可比公司</w:t>
      </w:r>
      <w:r>
        <w:rPr>
          <w:sz w:val="22"/>
          <w:szCs w:val="22"/>
        </w:rPr>
        <w:t xml:space="preserve">：截至10月13日收盘6.46元，PE-TTM为74.06倍、处近5.2年12%分位；估值表中可比公司PE中位数为21.33倍。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：近六个月一致预期为2026年归母净利增长30.1%、2027年增长44.8%；74.06倍PE仍要求盈利预测逐步兑现。市场隐含增速仅为低利润基数下的算术结果，不作预期比较。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：2026H1收入与归母净利增长，但扣非仅微增、单季度扣非下滑，盈利质量尚未跟上一致预期的年度增速；能源装备收入扩张、毛利率回落也显示利润转化仍待验证。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证据倾向：偏空；置信度：高（关键财务数字已与官方原文核对）</w:t>
      </w:r>
    </w:p>
    <w:p>
      <w:pPr>
        <w:spacing w:after="160" w:line="300"/>
      </w:pPr>
      <w:r>
        <w:rPr>
          <w:sz w:val="22"/>
          <w:szCs w:val="22"/>
        </w:rPr>
        <w:t xml:space="preserve">收入与订单提供增长支撑，但扣非疲弱、毛利率承压，且PE相对可比公司偏高。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向能源电力企业、工程业主及工业用户销售发电、风电、核电、电梯等装备并提供工程服务，收入受设备与项目规模、产品结构及招投标定价影响。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能源装备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约56.1%（2025年，按三项分部收入合计口径；非合并外部收入占比）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18.4%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21.5%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最大收入板块，毛利率同比下降1.3个百分点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工业装备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约28.5%（2025年，按三项分部收入合计口径；非合并外部收入占比）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16.2%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-1.5%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原材料占板块成本82.5%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集成服务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约15.4%（2025年，按三项分部收入合计口径；非合并外部收入占比）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11.1%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-0.4%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毛利率同比下降2.6个百分点，为三板块最低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产品覆盖煤电、燃机、核电、风电等，2025年新增订单1728亿元，体现多领域项目承接能力。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2025年研发投入62.51亿元、研发人员3966人；报告期出产核岛主设备24台。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核电设备资质与制造能力具备门槛，但集团整体毛利率和归母净利率较低且波动。</w:t>
      </w:r>
    </w:p>
    <w:p>
      <w:pPr>
        <w:spacing w:after="160" w:line="300"/>
      </w:pPr>
      <w:r>
        <w:rPr>
          <w:sz w:val="22"/>
          <w:szCs w:val="22"/>
        </w:rPr>
        <w:t xml:space="preserve">主要威胁：制造成本受材料及零部件价格影响，招投标限制价格传导；工程项目成本、交付与回款风险可能侵蚀利润。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设备制造投入包括金属材料、铸锻件、电子及电气零部件、配套设备；年报未披露各类采购金额占比。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2025年原材料占能源装备成本84.9%、工业装备成本82.5%；前五大供应商采购额58.23亿元，占采购总额5.65%。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客户包括能源电力企业、工程项目业主及工业装备用户；大型业主和总包方在招标、验收、进度确认及结算环节影响较强。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设备与工程项目多通过招投标定价，厂商议价能力受竞争约束；项目验收和结算周期也影响回款。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2025年年报单年披露：前五大客户销售额91.10亿元，占年度销售总额7.19%；客户名称未披露，具体以公司年报为准。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2025年末应收账款净额370.33亿元，约为营业收入29.4%；合同资产377.41亿元、预付款115.02亿元、应付账款706.37亿元，项目结算占用明显。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约15.1%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约-7.6%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海外工程成本、材料波动及资产减值等拖累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16.2%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约-3.0%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材料物流成本上升，境外工程及应收减值承压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原披露约18.8%；重分类后17.6%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约0.7%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毛利率含质保预计负债及费用重分类口径差异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18.6%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约0.65%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较2023年重分类后口径改善约1个百分点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17.9%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约0.95%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能源装备毛利率降1.3个百分点，集成服务降2.6个百分点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公司处于大型装备制造与工程服务中游，整体利润率受材料、零部件、项目交付和客户结算共同影响。利润率改善更依赖高毛利产品占比提升、工程成本控制、回款改善及规模化降本，而非单纯扩大收入。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大型能源装备需求受电力投资及能源转型项目带动，但制造与工程业务仍受材料成本、招投标定价和项目执行约束；上海电气2025年能源装备收入增长，集团毛利率却同比回落。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东方电气（600875）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能源装备制造与服务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2025年营收786.15亿元；能源装备制造毛利率13.98%；PE(TTM) 17.13倍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业务更聚焦能源装备，上海电气还覆盖电梯、工业装备及集成服务。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金风科技（002202）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风电整机及风电场开发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2025年营收730.23亿元；综合毛利率14.18%；PE(TTM) 21.33倍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可比风机业务；风电场开发毛利率高于风机及零部件业务。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西子洁能（002534）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锅炉及清洁能源装备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2025年营收62.41亿元；毛利率19.02%；PE(TTM) 57.7倍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规模显著较小、业务更聚焦，可比上海电气部分锅炉和热能设备。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上海电气的产品与项目覆盖面较广，核电设备制造能力及多领域承接能力突出；但集团利润率不高，业务跨度大于单一同业，材料成本与工程项目执行对盈利影响更复杂。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633.32亿元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+16.63%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9.70亿元人民币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+18.18%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+0.82%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18.27%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1266.79亿元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+9.03%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12.06亿元人民币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+60.30%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+132.56%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17.52%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1161.86亿元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+1.21%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7.52亿元人民币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-6.33%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+49.66%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18.13%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同比增速按原文本期、上期数推算了6项，6项与表中一致。</w:t>
      </w:r>
    </w:p>
    <w:p>
      <w:pPr>
        <w:spacing w:after="160" w:line="300"/>
      </w:pPr>
      <w:r>
        <w:rPr>
          <w:sz w:val="22"/>
          <w:szCs w:val="22"/>
        </w:rPr>
        <w:t xml:space="preserve">2026H1归母净利增长快于扣非，扣非同比仅增0.82%；所在单季度扣非同比下降22.70%，盈利增长的内生性仍需观察。2025年归母净利与扣非净利差距较大，非经常性损益对利润贡献显著。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1.76%（2026H1）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盈利回报率偏低，扣非ROE仅1.00%。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75.74%（2026H1）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负债率较高，资本结构承压。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经营现金流净额/净利润（含少数股东损益）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1.95（2026H1）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经营现金流对合并净利润有较好覆盖。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104.8天（2026H1）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回款周期较长，需关注应收回收。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存货周转天数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256.4天（2026H1）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周转偏慢，存货占用资金较多。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速动比率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0.81（2026H1）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速动资产不足以覆盖流动负债。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74.06倍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近5.2年12%分位（中位数150.9倍）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中位数21.33倍（东方电气17.13、金风科技21.33、西子洁能57.70）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1.81倍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近5.2年64%分位（中位数1.29倍）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中位数1.72倍（东方电气1.72、金风科技1.70、西子洁能2.51）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0.74倍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近5.2年64%分位（中位数0.6倍）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中位数1.00倍（东方电气1.00、金风科技0.86、西子洁能2.32）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0.22%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估值倍数由程序按2026-10-13收盘数据计算（滚动十二个月口径）；同行倍数按2026-10-13收盘数据同口径计算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74.06倍市盈率计，若投资者要求年化8%的回报、10年后按15倍市盈率估值，每股收益需年均增长约26.7%（不计分红，偏保守）。当前利润基数偏低、市盈率失真，这一增速只是算术结果，不宜直接当作市场预期。</w:t>
      </w:r>
    </w:p>
    <w:p>
      <w:pPr>
        <w:spacing w:after="160" w:line="300"/>
      </w:pPr>
      <w:r>
        <w:rPr>
          <w:sz w:val="22"/>
          <w:szCs w:val="22"/>
        </w:rPr>
        <w:t xml:space="preserve">PE-TTM 74.06倍处近5.2年12%分位，低于自身中位数150.9倍，但高于可比公司21.33倍中位数；PB 1.81倍、PS 0.74倍均处自身64%分位，分别高于自身PB中位数1.29倍、低于可比PS中位数1倍。市场价格仍要求盈利兑现，但低基数下的隐含增速不宜视为有效预期。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1349.17亿元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15.69亿元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+30.1%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0.10元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1433.01亿元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22.72亿元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+44.8%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0.15元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1516.78亿元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28.23亿元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+24.3%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0.18元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东方财富近六个月研报汇总，截至2026-10-14。可见机构研报明细，评级人数另计：2026E净利润3家、EPS3家；2027E净利润3家、EPS3家；2028E净利润3家、EPS3家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近六个月2家，均值9.28元、区间8.55—10元；最新华泰证券2026-09-01，目标价8.55元。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华泰证券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2026-09-01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目标价8.55元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光大证券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2026-09-02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预测2026E归母净利15.22亿元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中信证券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2026-06-03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目标价10元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东吴证券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2026-05-11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预测2026E归母净利15.32亿元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兴业证券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2026-05-05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预测2026E归母净利15.05亿元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2026-10-31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预约披露2026年三季报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关注扣非利润、减值及经营现金流；利润质量改善、减值压力回落为超预期信号。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2026-10-08 筹划向特定对象发行A股（中性）</w:t>
      </w:r>
      <w:r>
        <w:rPr>
          <w:sz w:val="22"/>
          <w:szCs w:val="22"/>
        </w:rPr>
        <w:t xml:space="preserve">：公司拟向不超过35名特定投资者发行A股，尚处前期筹划阶段，未披露发行规模及价格。后续需经董事会、股东会、国资审批及交易所审核、证监会注册，推进节奏和摊薄影响尚待明确。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2026-09-02 中国能源借款案获一审判决（中性）</w:t>
      </w:r>
      <w:r>
        <w:rPr>
          <w:sz w:val="22"/>
          <w:szCs w:val="22"/>
        </w:rPr>
        <w:t xml:space="preserve">：公司就两笔借款相关诉讼取得一审判决，判令被告支付利息、罚息等并提供质押股权担保；判决尚未生效，被告可上诉，回款及损益影响仍不确定。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2026-08-31 半年报披露大额减值损失（利空）</w:t>
      </w:r>
      <w:r>
        <w:rPr>
          <w:sz w:val="22"/>
          <w:szCs w:val="22"/>
        </w:rPr>
        <w:t xml:space="preserve">：半年报披露信用减值损失和资产减值损失合计减少税前利润约17.91亿元，反映应收款及存货减值压力；归母利润增长未能消除资产质量风险。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2025年新增订单1728亿元，产品覆盖煤电、燃机、核电、风电，多领域承接能力可支撑后续收入。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机构一致预期2026、2027年归母净利分别增长30.1%、44.8%，若项目交付和成本控制兑现，利润弹性可能改善。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2025年研发投入62.51亿元、出产核岛主设备24台，核电设备资质与制造能力构成细分业务门槛。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2026H1扣非仅增长0.82%、单季度下降22.70%，归母利润增长尚未体现为稳定的内生盈利改善。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原材料占能源装备成本84.9%、工业装备成本82.5%，叠加招投标定价约束，材料涨价可能继续挤压毛利。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PE-TTM 74.06倍高于可比公司21.33倍中位数，若一致预期未兑现，估值承压空间较大。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拟向不超过35名特定投资者发行A股，规模和价格未披露；发行推进可能摊薄每股收益并影响估值。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中国能源借款案判决尚未生效且可能上诉，回款不确定会延长资金占用并带来损益波动。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资产负债率75.74%、存货周转256.4天；若存货变现或项目结算放慢，资金占用及减值压力可能上升。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三季报扣非利润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10月31日预约披露；H1扣非增0.82%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扣非增速明显改善，单季度不再同比下降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扣非继续低增或单季度降幅扩大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减值损失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H1信用及资产减值合计约17.91亿元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三季报减值压力回落，利润质量改善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减值继续高企并侵蚀利润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能源装备毛利率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2025年18.4%，同比下降1.3个百分点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板块收入保持增长且毛利率企稳回升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收入增势转弱或毛利率继续下滑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发行方案进展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处于筹划阶段，规模与价格未披露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方案明确且资金用途支持盈利改善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发行规模或摊薄影响明显扩大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⚠️风险提示：以下为主观情景推演，权重非统计概率；不构成投资建议。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股价贴近MA5及布林中轨下方，且低于MA10、MA20和MA60；MACD柱刚转正、RSI未超卖，短线仍以支撑确认和均线收复为观察重点。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均线（MA5/10/20/60）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6.45 / MA10 6.50 / MA20 6.52 / MA60 6.63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股价略高于MA5，低于其余均线，短线偏弱。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MACD（DIF/DEA/柱）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-0.052 / DEA -0.052 / 柱 0.001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柱值由负转正，尚未确认趋势反转。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RSI（6/14）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45.4 / RSI14 44.4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处于中性偏弱区间。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布林带（上轨/中轨/下轨）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6.75 / 中轨 6.52 / 下轨 6.29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股价靠近中轨下方，关注下轨支撑。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近5/20个交易日涨跌幅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+0.78%/-3.73%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短期横盘，近20日仍偏弱。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6.50~6.79元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MA10、MA20及近期高点附近；突破后上看布林上轨6.75元上方区域。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6.32~6.45元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MA5与近期及52周低点区域；失守后关注布林下轨附近。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6.29~6.32元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布林下轨与近期低点相邻；有效跌破将打开更低区间，现有数据未给出下方价位。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以2026-10-13价格6.46元为基准，用近300个交易日的收益分布（按当前指数加权日波动率约1.2%缩放，保留这只股票自身的大涨大跌频率）推算未来5个交易日的收盘价范围：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6.30～6.58元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-2.5%～+1.9%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6.19～6.87元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-4.2%～+6.3%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震荡整理（相对权重较高，约四成）</w:t>
      </w:r>
      <w:r>
        <w:rPr>
          <w:sz w:val="22"/>
          <w:szCs w:val="22"/>
        </w:rPr>
        <w:t xml:space="preserve">：6.32~6.52元；守住近期低点、但未有效收复MA20时延续整理。按历史波动率测算，一周后收盘落在该区间的概率约50%。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偏弱下行（权重中等，约四成）</w:t>
      </w:r>
      <w:r>
        <w:rPr>
          <w:sz w:val="22"/>
          <w:szCs w:val="22"/>
        </w:rPr>
        <w:t xml:space="preserve">：6.29~6.32元；若收盘跌破近期低点并持续受压于MA5，关注布林下轨附近。按历史波动率测算，一周后收盘落在该区间的概率约5%。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：6.52~6.79元；放量收复MA20后，关注近期高点区域压力。按历史波动率测算，一周后收盘落在该区间的概率约25%。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截至2026-10-13，近10个交易日日成交额约1.90~7.36亿元、换手率0.23%~0.88%。截至2026-06-30，前十大流通股东合计持股68.14%，以控股股东、公司及投资公司等为主，名单中未见公募、社保或QFII；股东数据有披露滞后，结构可能已变化。较低换手下，短时大额交易可能增加成交冲击。</w:t>
      </w:r>
    </w:p>
    <w:p>
      <w:pPr>
        <w:spacing w:after="160" w:line="300"/>
      </w:pPr>
      <w:r>
        <w:rPr>
          <w:sz w:val="22"/>
          <w:szCs w:val="22"/>
        </w:rPr>
        <w:t xml:space="preserve">若单日成交额超过7.36亿元且股价收复6.52元，可视为量价转强的确认信号。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-13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上海电气(601727)_公司公告_上海电气：2025年年度报告新浪财经_新浪网 — https://money.finance.sina.com.cn/corp/view/vCB_AllBulletinDetail.php?id=12037292&amp;stockid=601727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上海电气(601727)_公司公告_上海电气：2025年年度报告摘要新浪财经_新浪网 — https://money.finance.sina.com.cn/corp/view/vCB_AllBulletinDetail.php?id=12037281&amp;stockid=601727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上海电气风电集团股份有限公司2025年年度报告摘要|上海证券报 — https://paper.cnstock.com/html/2026-03/28/content_2193275.htm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上海电气集团股份有限公司关于上海证券交易所对公司2022年年度报告的信息披露监管工作函的回复公告|上海证券报 — https://paper.cnstock.com/html/2023-05/18/content_1768205.htm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公司公告_上海电气：上海电气2021年年度报告新浪财经_新浪网 — https://vip.stock.finance.sina.com.cn/corp/view/vCB_AllBulletinDetail.php?id=8005952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公司公告_上海电气：2022年年度报告摘要新浪财经_新浪网 — https://vip.stock.finance.sina.com.cn/corp/view/vCB_AllBulletinDetail.php?id=8928624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上海电气：2023年盈利2.85亿元 同比扭亏|上海电气_新浪财经_新浪网 — https://finance.sina.com.cn/roll/2024-03-29/doc-inapypnq2427804.shtml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2024年度业绩发布
上海电气集团股份有限公司
2024 ANNUAL RESULTS ANNOUN — https://www.shanghai-electric.com/listed/upload/resources/file/2025/06/09/112100.pdf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上海电气2026年半年度报告 — https://static.cninfo.com.cn/finalpage/2026-08-31/1225535023.PDF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上海电气2025年年度报告 — https://static.cninfo.com.cn/finalpage/2026-03-31/1225052328.PDF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上海电气2024年年度报告 — https://static.cninfo.com.cn/finalpage/2025-03-29/1222949461.PDF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上海电气2023年年度报告 — https://static.cninfo.com.cn/finalpage/2024-03-29/1219446718.PDF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腾讯财经行情（2026-10-14） — https://gu.qq.com/sh601727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合并资产负债表（2026中报） — https://emweb.securities.eastmoney.com/pc_hsf10/pages/index.html?type=web&amp;code=SH601727#/cwfx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盈利预测 — https://emweb.securities.eastmoney.com/pc_hsf10/pages/index.html?type=web&amp;code=SH601727#/ylyc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上海电气:上海电气2026年半年度报告 — https://pdf.dfcfw.com/pdf/H2_AN202608301828733659_1.pdf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上海电气集团股份有限公司关于子公司诉讼事项的进展公告 — https://paper.cnstock.com/html/2026-10/09/content_2275017.htm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中国证券报 - 上海电气集团股份有限公司&lt;BR/&gt;关于筹划向特定对象发行A股股票的提示性公告 — http://app.cnstock.com/zzb/zgzqb/html/2026-10/09/nw.D110000zgzqb_20261009_4-B044.htm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上海电气：子公司涉诉5.44亿元货款案终获撤诉 — https://www.chnfund.com/article/6584d5ab-c636-fa91-53e0-3a242d0ac32d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上海电气最新公告：筹划向特定对象发行A股股票-证券之星 — https://wap.stockstar.com/detail/RB2026100800023853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上海电气：筹划向特定对象发行A股股票_九方智投 — https://www.9fzt.com/724info/f86d139c1d32f7822a7294f0f4eca8db.html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上海电气：筹划向特定对象发行A股股票 — https://www.chnfund.com/article/5f6dc72d-b456-b240-ab1f-3a242db37f7f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上海电气：筹划向特定对象发行A股股票 — https://finance.eastmoney.com/a/202610083889722324.html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上海电气子公司涉5.44亿元诉讼获原告撤诉 相关事项曾中止审理 — https://www.sohu.com/a/1085201260_122014422?scm=10001.7746_13-119000.0.0-0-0-0-0.0&amp;spm=smpc.channel_354.block3_32_P7Ovbu_1_fd.18.1791455346377GEZ9Uab_7746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https://data.eastmoney.com/zjlx/601727.html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https://emweb.securities.eastmoney.com/pc_hsf10/pages/index.html?type=web&amp;code=SH601727#/gdyj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2026-10-13收盘，可能存在时效性差异，具体数据请以公司正式公告及权威数据终端为准。本报告仅为信息整理与研究参考，不构成任何投资建议，投资者应独立判断并自行承担投资风险。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2026-10-14T02:41:19.448Z</dcterms:created>
  <dcterms:modified xsi:type="dcterms:W3CDTF">2026-10-14T02:41:19.448Z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