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600"/>
        <w:jc w:val="center"/>
      </w:pPr>
      <w:r>
        <w:rPr>
          <w:b/>
          <w:bCs/>
          <w:color w:val="1F4E79"/>
          <w:sz w:val="44"/>
          <w:szCs w:val="44"/>
        </w:rPr>
        <w:t xml:space="preserve">中国石油天然气股份有限公司 (601857)</w:t>
      </w:r>
    </w:p>
    <w:p>
      <w:pPr>
        <w:spacing w:after="200" w:before="200"/>
        <w:jc w:val="center"/>
      </w:pPr>
      <w:r>
        <w:rPr>
          <w:b/>
          <w:bCs/>
          <w:color w:val="2E74B5"/>
          <w:sz w:val="34"/>
          <w:szCs w:val="34"/>
        </w:rPr>
        <w:t xml:space="preserve">个股分析报告</w:t>
      </w:r>
    </w:p>
    <w:p>
      <w:pPr>
        <w:spacing w:before="600"/>
        <w:jc w:val="center"/>
      </w:pPr>
      <w:r>
        <w:rPr>
          <w:color w:val="595959"/>
          <w:sz w:val="22"/>
          <w:szCs w:val="22"/>
        </w:rPr>
        <w:t xml:space="preserve">行业：油气全产业链</w:t>
      </w:r>
    </w:p>
    <w:p>
      <w:pPr>
        <w:jc w:val="center"/>
      </w:pPr>
      <w:r>
        <w:rPr>
          <w:color w:val="595959"/>
          <w:sz w:val="22"/>
          <w:szCs w:val="22"/>
        </w:rPr>
        <w:t xml:space="preserve">报告日期：2026年10月17日</w:t>
      </w:r>
    </w:p>
    <w:p>
      <w:pPr>
        <w:jc w:val="center"/>
      </w:pPr>
      <w:r>
        <w:rPr>
          <w:color w:val="595959"/>
          <w:sz w:val="20"/>
          <w:szCs w:val="20"/>
        </w:rPr>
        <w:t xml:space="preserve">行情截至2026-10-16收盘</w:t>
      </w:r>
    </w:p>
    <w:p>
      <w:pPr>
        <w:spacing w:before="800"/>
        <w:jc w:val="center"/>
      </w:pPr>
      <w:r>
        <w:rPr>
          <w:i/>
          <w:iCs/>
          <w:color w:val="595959"/>
          <w:sz w:val="18"/>
          <w:szCs w:val="18"/>
        </w:rPr>
        <w:t xml:space="preserve">本报告基于公开信息由AI自动整理生成，仅供参考，不构成投资建议</w:t>
      </w:r>
    </w:p>
    <w:p>
      <w:r>
        <w:br w:type="page"/>
      </w:r>
    </w:p>
    <w:p>
      <w:pPr>
        <w:spacing w:after="160" w:line="300"/>
      </w:pPr>
      <w:r>
        <w:rPr>
          <w:b/>
          <w:bCs/>
          <w:color w:val="1F4E79"/>
          <w:sz w:val="22"/>
          <w:szCs w:val="22"/>
        </w:rPr>
        <w:t xml:space="preserve">核心结论：上半年盈利提速已现，但远期预测趋平与高分位估值压缩容错空间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700"/>
      </w:tblGrid>
      <w:tr>
        <w:trPr>
          <w:tblHeader/>
        </w:trPr>
        <w:tc>
          <w:tcPr>
            <w:tcW w:type="dxa" w:w="3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关键数据</w:t>
            </w:r>
          </w:p>
        </w:tc>
        <w:tc>
          <w:tcPr>
            <w:tcW w:type="dxa" w:w="6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收盘价（当日涨跌幅）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12.76元（+1.35%）</w:t>
            </w:r>
          </w:p>
        </w:tc>
      </w:tr>
      <w:tr>
        <w:tc>
          <w:tcPr>
            <w:tcW w:type="dxa" w:w="3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总市值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约23353.48亿元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PE(TTM)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13.26倍</w:t>
            </w:r>
          </w:p>
        </w:tc>
      </w:tr>
      <w:tr>
        <w:tc>
          <w:tcPr>
            <w:tcW w:type="dxa" w:w="3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PB(MRQ)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1.43倍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52周区间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7.53～13.18元</w:t>
            </w:r>
          </w:p>
        </w:tc>
      </w:tr>
      <w:tr>
        <w:tc>
          <w:tcPr>
            <w:tcW w:type="dxa" w:w="3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成交额/换手率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19.25亿元／0.09%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行情数据截至：2026-10-16收盘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一、投资要点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盈利提速但仍低于一致预期</w:t>
      </w:r>
      <w:r>
        <w:rPr>
          <w:sz w:val="22"/>
          <w:szCs w:val="22"/>
        </w:rPr>
        <w:t xml:space="preserve">：2026年上半年归母净利润同比增长22.0%、扣非增长23.7%，二季度归母净利润同比约增47.4%；半年报盈利较卖方一致预期低约3.5%。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油气价格回升与天然气扩量支撑修复</w:t>
      </w:r>
      <w:r>
        <w:rPr>
          <w:sz w:val="22"/>
          <w:szCs w:val="22"/>
        </w:rPr>
        <w:t xml:space="preserve">：上半年油气、化工产品价格上涨及销量变化推动收入；2025年天然气销售分部收入同比增长4.7%，但油价下跌曾拖累上游盈利。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股价处历史高估值区间</w:t>
      </w:r>
      <w:r>
        <w:rPr>
          <w:sz w:val="22"/>
          <w:szCs w:val="22"/>
        </w:rPr>
        <w:t xml:space="preserve">：10月16日收盘12.76元，PE-TTM 13.26倍、PB-MRQ 1.43倍，分别处近5.2年93%、100%分位；机构预计2026年净利增长18.8%。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市场预期与证据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市场在定价</w:t>
      </w:r>
      <w:r>
        <w:rPr>
          <w:sz w:val="22"/>
          <w:szCs w:val="22"/>
        </w:rPr>
        <w:t xml:space="preserve">：当前价格隐含未来10年每股收益年均增长约6.7%。机构一致预期为2026年净利增长18.8%、2027年下降0.8%、2028年增长1.0%；预测期限与指标不同，不能直接比较。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证据显示</w:t>
      </w:r>
      <w:r>
        <w:rPr>
          <w:sz w:val="22"/>
          <w:szCs w:val="22"/>
        </w:rPr>
        <w:t xml:space="preserve">：上半年盈利明显加速，但仍较卖方一致预期低约3.5%；机构预测显示2027—2028年净利基本停滞，尚未呈现可持续的中长期增长路径。</w:t>
      </w:r>
    </w:p>
    <w:p>
      <w:pPr>
        <w:spacing w:after="160" w:line="300"/>
      </w:pPr>
      <w:r>
        <w:rPr>
          <w:b/>
          <w:bCs/>
          <w:color w:val="1F4E79"/>
          <w:sz w:val="22"/>
          <w:szCs w:val="22"/>
        </w:rPr>
        <w:t xml:space="preserve">证据倾向：均衡；置信度：中（部分财务字段仍缺官方核验或披露日期）</w:t>
      </w:r>
    </w:p>
    <w:p>
      <w:pPr>
        <w:spacing w:after="160" w:line="300"/>
      </w:pPr>
      <w:r>
        <w:rPr>
          <w:sz w:val="22"/>
          <w:szCs w:val="22"/>
        </w:rPr>
        <w:t xml:space="preserve">上半年盈利加速有数据支撑，但业绩低于一致预期，且机构预测显示后续增长趋平、估值处历史高分位。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二、生意与竞争力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2.1 业务结构</w:t>
      </w:r>
    </w:p>
    <w:p>
      <w:pPr>
        <w:spacing w:after="160" w:line="300"/>
      </w:pPr>
      <w:r>
        <w:rPr>
          <w:sz w:val="22"/>
          <w:szCs w:val="22"/>
        </w:rPr>
        <w:t xml:space="preserve">通过油气勘探开发、炼化加工、成品油与天然气销售及贸易获取收入，盈利受油气价格、采购成本和产品结构影响。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1400"/>
        <w:gridCol w:w="1300"/>
        <w:gridCol w:w="1400"/>
        <w:gridCol w:w="3800"/>
      </w:tblGrid>
      <w:tr>
        <w:trPr>
          <w:tblHeader/>
        </w:trPr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业务板块</w:t>
            </w:r>
          </w:p>
        </w:tc>
        <w:tc>
          <w:tcPr>
            <w:tcW w:type="dxa" w:w="1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收入占比</w:t>
            </w:r>
          </w:p>
        </w:tc>
        <w:tc>
          <w:tcPr>
            <w:tcW w:type="dxa" w:w="13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毛利率</w:t>
            </w:r>
          </w:p>
        </w:tc>
        <w:tc>
          <w:tcPr>
            <w:tcW w:type="dxa" w:w="1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收入增速</w:t>
            </w:r>
          </w:p>
        </w:tc>
        <w:tc>
          <w:tcPr>
            <w:tcW w:type="dxa" w:w="3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要点</w:t>
            </w:r>
          </w:p>
        </w:tc>
      </w:tr>
      <w:tr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销售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48.34%（2025年抵销前分部收入口径）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3.00%（2025年）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-4.0%（2025年同比）</w:t>
            </w:r>
          </w:p>
        </w:tc>
        <w:tc>
          <w:tcPr>
            <w:tcW w:type="dxa" w:w="3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收入体量最大，外购成品油及贸易收入占比较高，毛利率较薄。</w:t>
            </w:r>
          </w:p>
        </w:tc>
      </w:tr>
      <w:tr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炼油化工和新材料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22.28%（2025年抵销前分部收入口径）</w:t>
            </w:r>
          </w:p>
        </w:tc>
        <w:tc>
          <w:tcPr>
            <w:tcW w:type="dxa" w:w="13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22.95%（2025年）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-9.6%（2025年同比）</w:t>
            </w:r>
          </w:p>
        </w:tc>
        <w:tc>
          <w:tcPr>
            <w:tcW w:type="dxa" w:w="3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原油及原料油采购支出下降、加工品种优化支撑毛利率。</w:t>
            </w:r>
          </w:p>
        </w:tc>
      </w:tr>
      <w:tr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油气和新能源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16.62%（2025年抵销前分部收入口径）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31.46%（2025年）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-9.5%（2025年同比）</w:t>
            </w:r>
          </w:p>
        </w:tc>
        <w:tc>
          <w:tcPr>
            <w:tcW w:type="dxa" w:w="3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油气产量增长，但原油价格下降压低收入和单位盈利。</w:t>
            </w:r>
          </w:p>
        </w:tc>
      </w:tr>
      <w:tr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天然气销售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12.74%（2025年抵销前分部收入口径）</w:t>
            </w:r>
          </w:p>
        </w:tc>
        <w:tc>
          <w:tcPr>
            <w:tcW w:type="dxa" w:w="13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9.24%（2025年）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4.7%（2025年同比）</w:t>
            </w:r>
          </w:p>
        </w:tc>
        <w:tc>
          <w:tcPr>
            <w:tcW w:type="dxa" w:w="3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国内天然气销量增加及采购成本控制带动增长。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2.2 竞争优势</w:t>
      </w:r>
    </w:p>
    <w:p>
      <w:pPr>
        <w:spacing w:after="160" w:line="300"/>
      </w:pPr>
      <w:r>
        <w:rPr>
          <w:b/>
          <w:bCs/>
          <w:color w:val="1F4E79"/>
          <w:sz w:val="22"/>
          <w:szCs w:val="22"/>
        </w:rPr>
        <w:t xml:space="preserve">竞争优势强度：中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资源基础：2025年末原油证实储量60.49亿桶、天然气证实储量73,121十亿立方英尺。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规模与一体化：2025年加工原油13.759亿桶，自产原油占加工量50.9%。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成本控制：2025年单位油气操作成本12.04美元/桶，较上年基本持平。</w:t>
      </w:r>
    </w:p>
    <w:p>
      <w:pPr>
        <w:spacing w:after="160" w:line="300"/>
      </w:pPr>
      <w:r>
        <w:rPr>
          <w:sz w:val="22"/>
          <w:szCs w:val="22"/>
        </w:rPr>
        <w:t xml:space="preserve">主要威胁：油气价格受国际基准和供需影响；2025年原油实现价格下降14.2%，化工业务经营利润下降19.4%，产业链规模未能消除周期波动。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2.3 产业链位置与盈利趋势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采购外购原油及原料油、天然气、燃料与材料，并支付工程服务、设备及油田作业服务费用。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2025年前五大供应商采购额约占29%，最大供应商约占17%；原油、天然气成本总体随国际商品价格和供需变化，公司更依靠采购结构、加工组合及自产原油协同控制成本。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客户包括油气贸易商、炼化及工业用户、成品油消费者、城市燃气和其他天然气用户。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议价机制因业务而异：油气销售受基准价格和供需影响；成品油盈利依赖采购成本、渠道及库存管理；天然气销售受采购成本和客户、区域结构影响。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2025年年报披露前五大客户收入约占集团销售额9%；为集团口径，不代表各分部客户集中度。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2025年末净应收账款779.29亿元，约为全年营收的2.72%；应收账款周转约9.5天为估算值。同期应付账款2,558.82亿元，高于应收账款。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800"/>
        <w:gridCol w:w="1800"/>
        <w:gridCol w:w="4800"/>
      </w:tblGrid>
      <w:tr>
        <w:trPr>
          <w:tblHeader/>
        </w:trPr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年度</w:t>
            </w:r>
          </w:p>
        </w:tc>
        <w:tc>
          <w:tcPr>
            <w:tcW w:type="dxa" w:w="1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毛利率</w:t>
            </w:r>
          </w:p>
        </w:tc>
        <w:tc>
          <w:tcPr>
            <w:tcW w:type="dxa" w:w="1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净利率</w:t>
            </w:r>
          </w:p>
        </w:tc>
        <w:tc>
          <w:tcPr>
            <w:tcW w:type="dxa" w:w="4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变动原因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2021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20.76%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约4.38%</w:t>
            </w:r>
          </w:p>
        </w:tc>
        <w:tc>
          <w:tcPr>
            <w:tcW w:type="dxa" w:w="4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油价从低位恢复、需求修复，盈利回升。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2022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21.96%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约5.04%</w:t>
            </w:r>
          </w:p>
        </w:tc>
        <w:tc>
          <w:tcPr>
            <w:tcW w:type="dxa" w:w="4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国际油价上行推升上游盈利，也抬高炼化和销售环节原料成本。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2023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23.53%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约5.99%</w:t>
            </w:r>
          </w:p>
        </w:tc>
        <w:tc>
          <w:tcPr>
            <w:tcW w:type="dxa" w:w="4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毛利率升至五年高位，油气业务与产业链协同贡献较强。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2024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22.56%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约6.26%</w:t>
            </w:r>
          </w:p>
        </w:tc>
        <w:tc>
          <w:tcPr>
            <w:tcW w:type="dxa" w:w="4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毛利率回落，净利率受经营利润、费用及投资收益等共同影响。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21.59%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约6.00%</w:t>
            </w:r>
          </w:p>
        </w:tc>
        <w:tc>
          <w:tcPr>
            <w:tcW w:type="dxa" w:w="4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油价及部分油气产品价格下降拖累利润，天然气销售增长和炼油改善部分对冲。</w:t>
            </w:r>
          </w:p>
        </w:tc>
      </w:tr>
    </w:tbl>
    <w:p>
      <w:pPr>
        <w:spacing w:before="200"/>
      </w:pPr>
    </w:p>
    <w:p>
      <w:pPr>
        <w:spacing w:after="160" w:line="300"/>
      </w:pPr>
      <w:r>
        <w:rPr>
          <w:sz w:val="22"/>
          <w:szCs w:val="22"/>
        </w:rPr>
        <w:t xml:space="preserve">公司处于上游资源、中游炼化、下游销售一体化链条；利润弹性主要来自上游油气和天然气销售，销售板块毛利较薄。改善利润需稳产增储、控成本、优化炼化结构与价差，并提升新材料盈利贡献。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2.4 行业与同行对比</w:t>
      </w:r>
    </w:p>
    <w:p>
      <w:pPr>
        <w:spacing w:after="160" w:line="300"/>
      </w:pPr>
      <w:r>
        <w:rPr>
          <w:sz w:val="22"/>
          <w:szCs w:val="22"/>
        </w:rPr>
        <w:t xml:space="preserve">行业盈利受国际油气价格、供需及炼化产品价差驱动。对中国石油而言，油气价格回落会压低上游盈利，销售业务规模大但毛利较薄，天然气及产品结构改善是重要对冲因素。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2300"/>
        <w:gridCol w:w="2600"/>
        <w:gridCol w:w="2900"/>
      </w:tblGrid>
      <w:tr>
        <w:trPr>
          <w:tblHeader/>
        </w:trPr>
        <w:tc>
          <w:tcPr>
            <w:tcW w:type="dxa" w:w="2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公司</w:t>
            </w:r>
          </w:p>
        </w:tc>
        <w:tc>
          <w:tcPr>
            <w:tcW w:type="dxa" w:w="23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定位</w:t>
            </w:r>
          </w:p>
        </w:tc>
        <w:tc>
          <w:tcPr>
            <w:tcW w:type="dxa" w:w="2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可比数据</w:t>
            </w:r>
          </w:p>
        </w:tc>
        <w:tc>
          <w:tcPr>
            <w:tcW w:type="dxa" w:w="2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与本公司差异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中国石化（600028）</w:t>
            </w:r>
          </w:p>
        </w:tc>
        <w:tc>
          <w:tcPr>
            <w:tcW w:type="dxa" w:w="2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炼化与营销分销为主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2025年营收27,835.83亿元；毛利率15.89%；PE(TTM) 18.57倍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收入规模相近，中国石油上游油气和天然气业务权重更突出。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中国海油（600938）</w:t>
            </w:r>
          </w:p>
        </w:tc>
        <w:tc>
          <w:tcPr>
            <w:tcW w:type="dxa" w:w="23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海上油气上游为主</w:t>
            </w:r>
          </w:p>
        </w:tc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2025年营收3,982.20亿元；归母净利润1,220.82亿元；毛利率—；PE(TTM) 11.93倍</w:t>
            </w:r>
          </w:p>
        </w:tc>
        <w:tc>
          <w:tcPr>
            <w:tcW w:type="dxa" w:w="2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上游业务可比，但中国石油规模更大，且覆盖炼化、销售及天然气链条。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广汇能源（600256）</w:t>
            </w:r>
          </w:p>
        </w:tc>
        <w:tc>
          <w:tcPr>
            <w:tcW w:type="dxa" w:w="2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天然气及综合能源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2025年营收304.40亿元；归母净利润13.45亿元；毛利率同比下降0.98个百分点；PE(TTM) 25.53倍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规模较小且包含煤炭、煤化工等业务，不是全产业链大油企的直接对标。</w:t>
            </w:r>
          </w:p>
        </w:tc>
      </w:tr>
    </w:tbl>
    <w:p>
      <w:pPr>
        <w:spacing w:before="200"/>
      </w:pPr>
    </w:p>
    <w:p>
      <w:pPr>
        <w:spacing w:after="160" w:line="300"/>
      </w:pPr>
      <w:r>
        <w:rPr>
          <w:sz w:val="22"/>
          <w:szCs w:val="22"/>
        </w:rPr>
        <w:t xml:space="preserve">中国石油拥有上游资源和全产业链规模，收入规模与中国石化相近，但业务结构更偏油气与天然气；其下游业务占比也使利润受炼化价差和销售薄利影响。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三、财务质量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3.1 经营业绩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600"/>
        <w:gridCol w:w="1100"/>
        <w:gridCol w:w="1600"/>
        <w:gridCol w:w="1100"/>
        <w:gridCol w:w="1400"/>
        <w:gridCol w:w="1600"/>
      </w:tblGrid>
      <w:tr>
        <w:trPr>
          <w:tblHeader/>
        </w:trPr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报告期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营业收入</w:t>
            </w:r>
          </w:p>
        </w:tc>
        <w:tc>
          <w:tcPr>
            <w:tcW w:type="dxa" w:w="1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同比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归母净利润</w:t>
            </w:r>
          </w:p>
        </w:tc>
        <w:tc>
          <w:tcPr>
            <w:tcW w:type="dxa" w:w="1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同比</w:t>
            </w:r>
          </w:p>
        </w:tc>
        <w:tc>
          <w:tcPr>
            <w:tcW w:type="dxa" w:w="1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扣非同比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毛利率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2026年上半年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15,274.91亿元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+5.3%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1,039.34亿元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+22.0%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+23.7%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21.87%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2025年度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28644.69亿元人民币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-2.5%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1573.02亿元人民币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-4.5%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-6.7%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21.6%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2024年度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29,379.81亿元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-2.5%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1,646.76亿元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+2.0%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-7.5%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22.56%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营业收入与归母净利润按同期间官方报表及明确币种列示；调整后盈利与法定利润分别比较。表中营业收入、归母净利润共6项，4项与发行人定期报告原文逐项比对一致，2项未能在原文定位。同比增速按原文本期、上期数推算了4项，4项与表中一致。</w:t>
      </w:r>
    </w:p>
    <w:p>
      <w:pPr>
        <w:spacing w:after="160" w:line="300"/>
      </w:pPr>
      <w:r>
        <w:rPr>
          <w:sz w:val="22"/>
          <w:szCs w:val="22"/>
        </w:rPr>
        <w:t xml:space="preserve">2026年上半年收入、归母及扣非利润均增长，扣非增速略快；油气、化工产品价格上涨及销量变化推动收入。按累计数差额推算，二季度归母净利润同比约增47.4%，盈利增速加快。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3.2 财务健康检查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000"/>
        <w:gridCol w:w="1100"/>
        <w:gridCol w:w="4400"/>
      </w:tblGrid>
      <w:tr>
        <w:trPr>
          <w:tblHeader/>
        </w:trPr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  <w:tc>
          <w:tcPr>
            <w:tcW w:type="dxa" w:w="1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判断</w:t>
            </w:r>
          </w:p>
        </w:tc>
        <w:tc>
          <w:tcPr>
            <w:tcW w:type="dxa" w:w="4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说明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资产负债率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38.9%（2026年中）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良好</w:t>
            </w:r>
          </w:p>
        </w:tc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负债率适中，资本结构稳健。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资本负债率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11.2%（2026年中）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良好</w:t>
            </w:r>
          </w:p>
        </w:tc>
        <w:tc>
          <w:tcPr>
            <w:tcW w:type="dxa" w:w="4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管理层口径有息债务占资本比例较低。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经营现金流/净利润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2.18倍（2026年上半年）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良好</w:t>
            </w:r>
          </w:p>
        </w:tc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按经营现金流与合并净利润计算，现金转化较强。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流动比率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1.15倍（2026年中）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一般</w:t>
            </w:r>
          </w:p>
        </w:tc>
        <w:tc>
          <w:tcPr>
            <w:tcW w:type="dxa" w:w="4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流动资产覆盖流动负债，安全边际不算宽。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应收账款周转天数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9.40天（2025年）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良好</w:t>
            </w:r>
          </w:p>
        </w:tc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周转天数较短；2026年中应收账款较年末增加，仍需关注回款。</w:t>
            </w:r>
          </w:p>
        </w:tc>
      </w:tr>
    </w:tbl>
    <w:p>
      <w:pPr>
        <w:spacing w:before="200"/>
      </w:pP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四、估值与市场预期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4.1 估值水平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2000"/>
        <w:gridCol w:w="2900"/>
        <w:gridCol w:w="2800"/>
      </w:tblGrid>
      <w:tr>
        <w:trPr>
          <w:tblHeader/>
        </w:trPr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当前</w:t>
            </w:r>
          </w:p>
        </w:tc>
        <w:tc>
          <w:tcPr>
            <w:tcW w:type="dxa" w:w="2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自身历史</w:t>
            </w:r>
          </w:p>
        </w:tc>
        <w:tc>
          <w:tcPr>
            <w:tcW w:type="dxa" w:w="2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同行对比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PE(TTM)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13.26倍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近5.2年93%分位（中位数9.8倍）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中位数18.57倍（中国石化18.57、中国海油11.93、广汇能源25.53）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PB(MRQ)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1.43倍</w:t>
            </w:r>
          </w:p>
        </w:tc>
        <w:tc>
          <w:tcPr>
            <w:tcW w:type="dxa" w:w="2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近5.2年100%分位（中位数0.98倍）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中位数1.81倍（中国石化0.79、中国海油1.93、广汇能源1.81）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PS(TTM)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0.79倍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近5.2年99%分位（中位数0.49倍）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中位数1.56倍（中国石化0.24、中国海油3.81、广汇能源1.56）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股息率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约4.00%（按已宣告每股0.51元及12.76元股价）</w:t>
            </w:r>
          </w:p>
        </w:tc>
        <w:tc>
          <w:tcPr>
            <w:tcW w:type="dxa" w:w="2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估值倍数由程序按2026-10-16收盘数据计算（滚动十二个月口径）；同行倍数按2026-10-16收盘数据同口径计算</w:t>
      </w:r>
    </w:p>
    <w:p>
      <w:pPr>
        <w:spacing w:after="160" w:line="300"/>
      </w:pPr>
      <w:r>
        <w:rPr>
          <w:sz w:val="22"/>
          <w:szCs w:val="22"/>
        </w:rPr>
        <w:t xml:space="preserve">市场隐含预期：以当前13.26倍市盈率计，若投资者要求年化8%的回报、10年后按15倍市盈率估值，每股收益需年均增长约6.7%（不计分红，偏保守），短期机构净利润预测与该长期每股收益增速的期限及口径不同，不能直接比较高低。</w:t>
      </w:r>
    </w:p>
    <w:p>
      <w:pPr>
        <w:spacing w:after="160" w:line="300"/>
      </w:pPr>
      <w:r>
        <w:rPr>
          <w:sz w:val="22"/>
          <w:szCs w:val="22"/>
        </w:rPr>
        <w:t xml:space="preserve">PE-TTM 13.26倍、PB-MRQ 1.43倍、PS-TTM 0.79倍，处近5.2年93%、100%、99%分位，均高于各自中位数。价格隐含未来10年EPS年均增长约6.7%；2026年净利预期增长18.8%，但2027—2028年接近零增长，远期增长兑现仍需验证。已宣告股息对应约4.00%股息率，提供一定支撑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4.2 一致预期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2400"/>
        <w:gridCol w:w="2200"/>
        <w:gridCol w:w="1900"/>
        <w:gridCol w:w="1900"/>
      </w:tblGrid>
      <w:tr>
        <w:trPr>
          <w:tblHeader/>
        </w:trPr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年度</w:t>
            </w:r>
          </w:p>
        </w:tc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营业收入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归母净利润</w:t>
            </w:r>
          </w:p>
        </w:tc>
        <w:tc>
          <w:tcPr>
            <w:tcW w:type="dxa" w:w="1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净利润增速</w:t>
            </w:r>
          </w:p>
        </w:tc>
        <w:tc>
          <w:tcPr>
            <w:tcW w:type="dxa" w:w="1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每股收益(EPS)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约3.09万亿元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1,868.25亿元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+18.8%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1.02元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2027年</w:t>
            </w:r>
          </w:p>
        </w:tc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1,853.51亿元</w:t>
            </w:r>
          </w:p>
        </w:tc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-0.8%</w:t>
            </w:r>
          </w:p>
        </w:tc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1.01元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2028年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1,872.36亿元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+1.0%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1.02元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同花顺汇总近6个月16家机构预测，截至2026-10-16；净利润区间：2026年1,721—2,086亿元，2028年1,602—2,096亿元。仅有2026年营收均值。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4.3 机构观点</w:t>
      </w:r>
    </w:p>
    <w:p>
      <w:pPr>
        <w:spacing w:after="160" w:line="300"/>
      </w:pPr>
      <w:r>
        <w:rPr>
          <w:sz w:val="22"/>
          <w:szCs w:val="22"/>
        </w:rPr>
        <w:t xml:space="preserve">近期A股目标价样本2家，区间15.81—16.49元，均值未提供；最新有明确日期样本为国泰海通2026-09-05的16.49元。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1600"/>
        <w:gridCol w:w="2000"/>
        <w:gridCol w:w="3900"/>
      </w:tblGrid>
      <w:tr>
        <w:trPr>
          <w:tblHeader/>
        </w:trPr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机构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评级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日期</w:t>
            </w:r>
          </w:p>
        </w:tc>
        <w:tc>
          <w:tcPr>
            <w:tcW w:type="dxa" w:w="3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备注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国泰海通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增持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2026-09-05</w:t>
            </w:r>
          </w:p>
        </w:tc>
        <w:tc>
          <w:tcPr>
            <w:tcW w:type="dxa" w:w="3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目标价16.49元。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中银证券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买入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2026-09-03</w:t>
            </w:r>
          </w:p>
        </w:tc>
        <w:tc>
          <w:tcPr>
            <w:tcW w:type="dxa" w:w="3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信达证券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买入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2026-09-01</w:t>
            </w:r>
          </w:p>
        </w:tc>
        <w:tc>
          <w:tcPr>
            <w:tcW w:type="dxa" w:w="3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</w:tr>
    </w:tbl>
    <w:p>
      <w:pPr>
        <w:spacing w:before="200"/>
      </w:pP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五、催化剂与近期事件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5.1 未来关键节点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000"/>
        <w:gridCol w:w="4700"/>
      </w:tblGrid>
      <w:tr>
        <w:trPr>
          <w:tblHeader/>
        </w:trPr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时间</w:t>
            </w:r>
          </w:p>
        </w:tc>
        <w:tc>
          <w:tcPr>
            <w:tcW w:type="dxa" w:w="3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事件</w:t>
            </w:r>
          </w:p>
        </w:tc>
        <w:tc>
          <w:tcPr>
            <w:tcW w:type="dxa" w:w="4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看点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2026-10-28至2026-10-29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董事会审议及披露三季报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观察单季利润能否修复Q2预期缺口；营收预测口径分歧约5%，需统一基准。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2026年11月至2027年3月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冬季天然气保供窗口</w:t>
            </w:r>
          </w:p>
        </w:tc>
        <w:tc>
          <w:tcPr>
            <w:tcW w:type="dxa" w:w="4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跟踪天然气销售量及销售板块利润变化；目前无量化预期可供比较。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5.2 近期重要事件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2026-08-31 半年报增长但低于预期（利空）</w:t>
      </w:r>
      <w:r>
        <w:rPr>
          <w:sz w:val="22"/>
          <w:szCs w:val="22"/>
        </w:rPr>
        <w:t xml:space="preserve">：半年报显示盈利同比增长，但归母净利较卖方一致预期低约3.5%，呈现增长但不及预期；业绩数据为聚合口径。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2026-09-08 中期分红实施（利好）</w:t>
      </w:r>
      <w:r>
        <w:rPr>
          <w:sz w:val="22"/>
          <w:szCs w:val="22"/>
        </w:rPr>
        <w:t xml:space="preserve">：每股派现0.26元，合计派现475.85亿元，9月16日除权并发放。现金回报已兑现，不再构成后续除权催化。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2026-10-15 塔里木乙烯工程投产（利好）</w:t>
      </w:r>
      <w:r>
        <w:rPr>
          <w:sz w:val="22"/>
          <w:szCs w:val="22"/>
        </w:rPr>
        <w:t xml:space="preserve">：塔里木120万吨/年乙烯工程全面投入商业运营；公司未披露达产进度及利润贡献，短期盈利增量难以量化。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六、多空分歧与风险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6.1 看多理由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上半年经营现金流为净利润的2.18倍，利润具有较强现金流支撑。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2025年自产原油占加工量50.9%，油气储量与一体化加工能力增强供给和成本调节韧性。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天然气销售分部2025年收入增长4.7%、毛利率9.24%，可对冲部分油价周期压力。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6.2 看空理由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2025年原油实现价格下降14.2%，化工业务经营利润下降19.4%，规模优势未能消除周期波动。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机构预计2027年净利下降0.8%、2028年仅增长1.0%，中期盈利加速尚未得到预测支持。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估值已处历史高分位，而预测期后两年盈利近乎停滞，若长期增长兑现不足，估值承压。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6.3 其他风险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最大供应商采购额约占29%中的17%→关键供应扰动或议价变化可能抬升原料成本、压缩炼化利润。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塔里木乙烯工程虽已投入商业运营但达产进度和利润贡献未披露→爬坡慢于预期将延后盈利增量。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前十大流通股东合计持股96.47%、集团持股82.28%→可交易筹码有限可能放大资金进出对股价估值的影响。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七、跟踪清单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2200"/>
        <w:gridCol w:w="2800"/>
        <w:gridCol w:w="2800"/>
      </w:tblGrid>
      <w:tr>
        <w:trPr>
          <w:tblHeader/>
        </w:trPr>
        <w:tc>
          <w:tcPr>
            <w:tcW w:type="dxa" w:w="2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跟踪指标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当前</w:t>
            </w:r>
          </w:p>
        </w:tc>
        <w:tc>
          <w:tcPr>
            <w:tcW w:type="dxa" w:w="2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验证看多</w:t>
            </w:r>
          </w:p>
        </w:tc>
        <w:tc>
          <w:tcPr>
            <w:tcW w:type="dxa" w:w="2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验证看空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三季度业绩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预计10月28—29日披露；上半年盈利增长但低于预期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单季利润增速延续，且达到或超过一致预期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单季利润增速明显回落或继续低于一致预期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天然气销售盈利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2025年分部收入增长4.7%，毛利率9.24%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冬季保供期销量与分部利润同比增长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销量增长但分部利润或毛利率下滑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乙烯项目爬坡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塔里木120万吨/年项目已于10月投入商业运营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披露达产进度并形成可量化利润贡献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达产进度迟缓或贡献长期不明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油气价格与单位成本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2025年原油实现价格下降14.2%，单位油气操作成本12.04美元/桶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油气价格企稳回升且单位成本保持稳定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油气价格继续走弱或单位成本明显上升</w:t>
            </w:r>
          </w:p>
        </w:tc>
      </w:tr>
    </w:tbl>
    <w:p>
      <w:pPr>
        <w:spacing w:before="200"/>
      </w:pP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八、股价与短线展望（未来一周，情景推演，仅供参考）</w:t>
      </w:r>
    </w:p>
    <w:p>
      <w:pPr>
        <w:spacing w:after="160"/>
      </w:pPr>
      <w:r>
        <w:rPr>
          <w:b/>
          <w:bCs/>
          <w:color w:val="9C5700"/>
          <w:sz w:val="20"/>
          <w:szCs w:val="20"/>
        </w:rPr>
        <w:t xml:space="preserve">⚠️风险提示：情景权重为基于当前技术与资金面的主观估计，非统计概率。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8.1 技术面概况</w:t>
      </w:r>
    </w:p>
    <w:p>
      <w:pPr>
        <w:spacing w:after="160" w:line="300"/>
      </w:pPr>
      <w:r>
        <w:rPr>
          <w:sz w:val="22"/>
          <w:szCs w:val="22"/>
        </w:rPr>
        <w:t xml:space="preserve">均线与MACD显示趋势偏强，但收盘贴布林上轨、RSI处于高位，且距52周高点仅0.42元；短线更需观察压力位突破是否有成交额配合。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3000"/>
        <w:gridCol w:w="4500"/>
      </w:tblGrid>
      <w:tr>
        <w:trPr>
          <w:tblHeader/>
        </w:trPr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3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  <w:tc>
          <w:tcPr>
            <w:tcW w:type="dxa" w:w="4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解读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均线MA5/10/20/60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MA5 12.41 / MA10 11.88 / MA20 11.32 / MA60 10.93</w:t>
            </w:r>
          </w:p>
        </w:tc>
        <w:tc>
          <w:tcPr>
            <w:tcW w:type="dxa" w:w="4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均线多头排列，短中期趋势偏强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MACD（DIF/DEA/柱）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DIF 0.456 / DEA 0.277 / 柱 0.357</w:t>
            </w:r>
          </w:p>
        </w:tc>
        <w:tc>
          <w:tcPr>
            <w:tcW w:type="dxa" w:w="4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位于零轴上方，动能仍偏强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RSI6/RSI14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RSI6 94.3 / RSI14 81.9</w:t>
            </w:r>
          </w:p>
        </w:tc>
        <w:tc>
          <w:tcPr>
            <w:tcW w:type="dxa" w:w="4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短线明显超买，回撤与震荡风险上升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布林带上轨/中轨/下轨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上轨 12.76 / 中轨 11.32 / 下轨 9.89</w:t>
            </w:r>
          </w:p>
        </w:tc>
        <w:tc>
          <w:tcPr>
            <w:tcW w:type="dxa" w:w="4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收盘贴近上轨，短线面临压力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近5/20个交易日涨幅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10%/15.89%</w:t>
            </w:r>
          </w:p>
        </w:tc>
        <w:tc>
          <w:tcPr>
            <w:tcW w:type="dxa" w:w="4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近期涨势较快，追高风险增加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8.2 关键价位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2200"/>
        <w:gridCol w:w="5900"/>
      </w:tblGrid>
      <w:tr>
        <w:trPr>
          <w:tblHeader/>
        </w:trPr>
        <w:tc>
          <w:tcPr>
            <w:tcW w:type="dxa" w:w="1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位置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区间</w:t>
            </w:r>
          </w:p>
        </w:tc>
        <w:tc>
          <w:tcPr>
            <w:tcW w:type="dxa" w:w="5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说明</w:t>
            </w:r>
          </w:p>
        </w:tc>
      </w:tr>
      <w:tr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短期压力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12.76~13.18元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对应布林上轨、近20日高点及52周高点；有效突破可打开上行空间</w:t>
            </w:r>
          </w:p>
        </w:tc>
      </w:tr>
      <w:tr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第一支撑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11.88~12.41元</w:t>
            </w:r>
          </w:p>
        </w:tc>
        <w:tc>
          <w:tcPr>
            <w:tcW w:type="dxa" w:w="5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对应MA10与MA5；失守则短线强势减弱，关注MA20附近</w:t>
            </w:r>
          </w:p>
        </w:tc>
      </w:tr>
      <w:tr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强支撑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11.32~11.50元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对应MA20及布林中轨；跌破后下看MA60附近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8.3 按历史波动率测算的一周区间</w:t>
      </w:r>
    </w:p>
    <w:p>
      <w:pPr>
        <w:spacing w:after="160" w:line="300"/>
      </w:pPr>
      <w:r>
        <w:rPr>
          <w:sz w:val="22"/>
          <w:szCs w:val="22"/>
        </w:rPr>
        <w:t xml:space="preserve">以2026-10-16价格12.76元为基准，用近300个交易日的收益分布（按当前指数加权日波动率约1.7%缩放，保留这只股票自身的大涨大跌频率）推算未来5个交易日的收盘价范围：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700"/>
        <w:gridCol w:w="4000"/>
      </w:tblGrid>
      <w:tr>
        <w:trPr>
          <w:tblHeader/>
        </w:trPr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覆盖概率</w:t>
            </w:r>
          </w:p>
        </w:tc>
        <w:tc>
          <w:tcPr>
            <w:tcW w:type="dxa" w:w="3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价格区间</w:t>
            </w:r>
          </w:p>
        </w:tc>
        <w:tc>
          <w:tcPr>
            <w:tcW w:type="dxa" w:w="4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相对基准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约68%</w:t>
            </w:r>
          </w:p>
        </w:tc>
        <w:tc>
          <w:tcPr>
            <w:tcW w:type="dxa" w:w="3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12.36～13.43元</w:t>
            </w:r>
          </w:p>
        </w:tc>
        <w:tc>
          <w:tcPr>
            <w:tcW w:type="dxa" w:w="4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-3.1%～+5.3%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约95%</w:t>
            </w:r>
          </w:p>
        </w:tc>
        <w:tc>
          <w:tcPr>
            <w:tcW w:type="dxa" w:w="3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11.99～14.23元</w:t>
            </w:r>
          </w:p>
        </w:tc>
        <w:tc>
          <w:tcPr>
            <w:tcW w:type="dxa" w:w="4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-6.0%～+11.5%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该区间只反映这只股票近期的波动幅度，不含涨跌方向判断；遇到重大公告或大盘急跌，实际走势仍可能超出区间。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8.4 未来一周情景（主观权重，非统计概率）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高位震荡整理（相对权重较高，约四成）</w:t>
      </w:r>
      <w:r>
        <w:rPr>
          <w:sz w:val="22"/>
          <w:szCs w:val="22"/>
        </w:rPr>
        <w:t xml:space="preserve">：收盘在12.41~12.76元区间整理，未能放量突破12.76元且守住MA5附近。按历史波动率测算，一周后收盘落在该区间的概率约20%。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回撤偏弱（权重中等，约三成）</w:t>
      </w:r>
      <w:r>
        <w:rPr>
          <w:sz w:val="22"/>
          <w:szCs w:val="22"/>
        </w:rPr>
        <w:t xml:space="preserve">：收盘跌破12.41元且反抽乏力，可能回探11.32~12.41元支撑区。按历史波动率测算，一周后收盘落在该区间的概率约20%。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放量反弹走强（权重中等，约三成）</w:t>
      </w:r>
      <w:r>
        <w:rPr>
          <w:sz w:val="22"/>
          <w:szCs w:val="22"/>
        </w:rPr>
        <w:t xml:space="preserve">：成交额放大并有效站上12.76元，向13.18元前高区域推进。按历史波动率测算，一周后收盘落在该区间的概率约30%。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括号内是主观权重；句末的概率由上面的波动率区间反推，只反映波动幅度、不含方向判断。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8.5 资金与流动性</w:t>
      </w:r>
    </w:p>
    <w:p>
      <w:pPr>
        <w:spacing w:after="160" w:line="300"/>
      </w:pPr>
      <w:r>
        <w:rPr>
          <w:sz w:val="22"/>
          <w:szCs w:val="22"/>
        </w:rPr>
        <w:t xml:space="preserve">近10个交易日（2026-09-28至10-16）成交额约12.19亿~30.38亿元、换手率约0.07%~0.15%，最新日为19.25亿元、0.09%。截至2026-06-30，前十大流通股东合计持股96.47%，其中中国石油天然气集团持股82.28%；名单含保险、私募等，未见公募、社保或QFII，披露存在滞后，结构可能已变化。成交额较大但换手率低，股东集中度高，实际可交易筹码占比相对有限。</w:t>
      </w:r>
    </w:p>
    <w:p>
      <w:pPr>
        <w:spacing w:after="160" w:line="300"/>
      </w:pPr>
      <w:r>
        <w:rPr>
          <w:sz w:val="22"/>
          <w:szCs w:val="22"/>
        </w:rPr>
        <w:t xml:space="preserve">若单日成交额超过近10日区间上沿30.38亿元且收盘站上12.76元，可视为放量突破确认信号。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以上情景推演基于2026-10-16收盘数据及历史价格、技术指标测算，短期股价还会受消息面、资金面、大盘环境等多重因素扰动，技术指标本身存在滞后性和局限性，不构成对未来实际走势的保证，也不构成买卖建议，请结合最新市场信息独立判断并自行承担投资风险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数据来源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中国石油(601857)_公司公告_中国石油：2025年年报新浪财经_新浪网 — https://money.finance.sina.com.cn/corp/view/vCB_AllBulletinDetail.php?id=12034549&amp;stockid=601857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static.sse.com.cn（公告PDF） — https://static.sse.com.cn/disclosure/bond/announcement/company/c/new/2026-05-25/122211_20260525_3RJJ.pdf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中国石油(601857)_公司公告_中国石油：2026年半年度报告新浪财经_新浪网 — https://money.finance.sina.com.cn/corp/view/vCB_AllBulletinDetail.php?id=12574560&amp;stockid=601857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中国石油天然气股份有限公司 — https://static.cninfo.com.cn/finalpage/2026-03-30/1225049376.PDF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中国石油(601857) - 基本面研究报告 - 爱股网 — https://www.iguuu.com/stock/601857/report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中国石化(600028)_公司公告_中国石化：2025年度报告摘要新浪财经_新浪网 — https://vip.stock.finance.sina.com.cn/corp/view/vCB_AllBulletinDetail.php?id=12009908&amp;stockid=600028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中国海油(600938)_公司公告_中国海油：2025年年度报告新浪财经_新浪网 — https://money.finance.sina.com.cn/corp/view/vCB_AllBulletinDetail.php?id=12022934&amp;stockid=600938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广汇能源(600256)_公司公告_广汇能源：2025年年度报告新浪财经_新浪网 — https://money.finance.sina.com.cn/corp/view/vCB_AllBulletinDetail.php?id=12170588&amp;stockid=600256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中国石油天然气股份有限公司 2026 年半年度报告 — https://static.cninfo.com.cn/finalpage/2026-08-31/1225535179.PDF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中国石油天然气股份有限公司2024年度报告 — https://static.cninfo.com.cn/finalpage/2025-03-31/1222962164.PDF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中国石油天然气股份有限公司2023年度报告 — https://static.cninfo.com.cn/finalpage/2024-03-26/1219405975.PDF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腾讯财经行情（2026-10-16） — https://gu.qq.com/sh601857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东方财富F10 合并资产负债表（2026中报） — https://emweb.securities.eastmoney.com/pc_hsf10/pages/index.html?type=web&amp;code=SH601857#/cwfx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中国石油(601857)_公司公告_中国石油：2026年第一季度报告新浪财经_新浪网 — https://money.finance.sina.com.cn/corp/view/vCB_AllBulletinDetail.php?id=12278831&amp;stockid=601857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中国石油(601857)_公司公告_中国石油：2025年度业绩公告(年度报告摘要)新浪财经_新浪网 — https://money.finance.sina.com.cn/corp/view/vCB_AllBulletinDetail.php?id=12034546&amp;stockid=601857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中国石油(601857)财务指标_新浪财经_新浪网 — https://money.finance.sina.com.cn/corp/go.php/vFD_FinancialGuideLine/stockid/601857/ctrl/2025/displaytype/4.phtml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我国首个全链条绿色低碳乙烯工程全面投入商业运营 — https://stcn.com/article/detail/4219837.html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中国石油: 董事会会议通知内容摘要-证券之星 — https://wap.stockstar.com/detail/AN2026101400038598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我国首个全链条绿色低碳乙烯工程全面投入商业运营 — http://goodsfu.10jqka.com.cn/20261015/c680726156.shtml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中国石油: 董事会会议通知内容摘要 — http://stock.stockstar.com/AN2026101400038598.shtml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我国首个全链条绿色低碳乙烯工程全面投入商业运营-证券之星 — https://wap.stockstar.com/detail/IG2026101500020694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中国石油拟发行50亿元科技创新债券 申购区间1.30％~1.60％ — https://app.dahecube.com/nweb/spider/20261015/872807n936192c68dc.htm?artid=872807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中国石油集团拟发行不超50亿元科创债 — https://finance.eastmoney.com/a/202610153896773014.html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中国石油(601857) — https://data.eastmoney.com/stockcalendar/601857.html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东方财富 个股资金流向 — https://data.eastmoney.com/zjlx/601857.html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东方财富 股东研究 — https://emweb.securities.eastmoney.com/pc_hsf10/pages/index.html?type=web&amp;code=SH601857#/gdyj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本报告由AI基于公开渠道信息自动检索、整理并生成，信息截至 2026-10-16收盘，可能存在时效性差异，具体数据请以公司正式公告及权威数据终端为准。本报告仅为信息整理与研究参考，不构成任何投资建议，投资者应独立判断并自行承担投资风险。</w:t>
      </w:r>
    </w:p>
    <w:sectPr>
      <w:pgSz w:w="11907" w:h="16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4" w:hanging="288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qFormat/>
    <w:rPr>
      <w:rFonts w:ascii="Microsoft YaHei" w:cs="Microsoft YaHei" w:eastAsia="Microsoft YaHei" w:hAnsi="Microsoft YaHei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2026-10-17T15:05:26.741Z</dcterms:created>
  <dcterms:modified xsi:type="dcterms:W3CDTF">2026-10-17T15:05:26.741Z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