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辽宁港口股份有限公司（辽港股份） (601880)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行业：区域性深水港口与综合物流运营</w:t>
      </w:r>
    </w:p>
    <w:p>
      <w:pPr>
        <w:jc w:val="center"/>
      </w:pPr>
      <w:r>
        <w:rPr>
          <w:color w:val="595959"/>
          <w:sz w:val="22"/>
          <w:szCs w:val="22"/>
        </w:rPr>
        <w:t xml:space="preserve">报告日期：2026年9月13日</w:t>
      </w:r>
    </w:p>
    <w:p>
      <w:pPr>
        <w:jc w:val="center"/>
      </w:pPr>
      <w:r>
        <w:rPr>
          <w:color w:val="595959"/>
          <w:sz w:val="20"/>
          <w:szCs w:val="20"/>
        </w:rPr>
        <w:t xml:space="preserve">截至2026年9月11日收盘；MACD、RSI的可交叉核验完整数据分别截至2026年9月2日，相关指标存在时点滞后和不确定性。</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辽港股份2026年上半年经营表现有所回落：实现营业收入53.496亿元，同比下降6.0%，归母净利润8.849亿元，同比下降7.4%，扣非归母净利润约7.8亿元，同比下降约17.3%。散粮、油品和客滚业务量下滑，对主营经营形成拖累；集装箱及部分钢铁等散杂货业务增长有所对冲，但投资收益增加、财务费用下降及信用减值转回对利润的支撑，部分并非主营业务持续改善。</w:t>
      </w:r>
    </w:p>
    <w:p>
      <w:pPr>
        <w:spacing w:after="160" w:line="300"/>
      </w:pPr>
      <w:r>
        <w:rPr>
          <w:sz w:val="22"/>
          <w:szCs w:val="22"/>
        </w:rPr>
        <w:t xml:space="preserve">公司2025年度收入113.589亿元，同比增长2.64%，归母净利润13.068亿元，同比增长14.23%，扣非归母净利润12.902亿元，同比增长43.01%，经营活动现金流净额56.781亿元，同比增长32.44%，显示成本下降、毛利率改善及减值因素变化曾推动盈利修复。不过，2024年油品业务毛利率已由36.7%降至3.1%，散杂货和集装箱业务毛利率也出现下降，盈利对货种结构、吞吐量及固定成本摊薄较为敏感。</w:t>
      </w:r>
    </w:p>
    <w:p>
      <w:pPr>
        <w:spacing w:after="160" w:line="300"/>
      </w:pPr>
      <w:r>
        <w:rPr>
          <w:sz w:val="22"/>
          <w:szCs w:val="22"/>
        </w:rPr>
        <w:t xml:space="preserve">公司核心优势在于大连港、营口港双港协同，以及东北腹地、东北亚通道、深水专业化泊位和海铁联运网络，业务覆盖油品、集装箱、汽车、散杂货、散粮、客运滚装及港口增值服务。相较长三角、山东等港口，公司腹地经济活跃度和国际集装箱资源相对弱，并与天津港、青岛港、唐山港、日照港等环渤海港口存在货源重叠。</w:t>
      </w:r>
    </w:p>
    <w:p>
      <w:pPr>
        <w:spacing w:after="160" w:line="300"/>
      </w:pPr>
      <w:r>
        <w:rPr>
          <w:sz w:val="22"/>
          <w:szCs w:val="22"/>
        </w:rPr>
        <w:t xml:space="preserve">截至2026年9月11日，股价为1.47元，市净率约0.86倍，处于1.43—1.50元附近的窄幅震荡区间，1.50—1.52元为短期压力区域，1.43—1.45元为主要支撑区域。公司同时面临H股公众持股比例不足、独立董事比例暂时不符合上市规则要求等治理合规事项，相关解决方案和补选进展仍需关注。</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601880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辽港股份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公司前身</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大连港股份有限公司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重大整合</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2021年2月完成对营口港务股份有限公司的换股吸收合并后，更名为辽宁港口股份有限公司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核心运营港区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大连港、营口港相关港区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区域地位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截至2026年4月23日公司2025年年度业绩说明会披露，公司是东北地区最大的码头运营商，也是我国主要的海铁联运和海上中转港口之一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核心服务腹地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东北三省、内蒙古东部地区及环渤海地区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110.67亿元，同比下降9.44%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2024年营业成本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86.87亿元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2024年毛利及整体毛利率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毛利23.79亿元，整体毛利率21.5%，较2023年的27.7%下降6.2个百分点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11.44亿元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油品及液体化工品码头和相关物流业务</w:t>
      </w:r>
    </w:p>
    <w:p>
      <w:pPr>
        <w:pStyle w:val="ListParagraph"/>
        <w:numPr>
          <w:ilvl w:val="0"/>
          <w:numId w:val="2"/>
        </w:numPr>
        <w:spacing w:after="80" w:line="280"/>
      </w:pPr>
      <w:r>
        <w:rPr>
          <w:sz w:val="22"/>
          <w:szCs w:val="22"/>
        </w:rPr>
        <w:t xml:space="preserve">集装箱码头和相关物流业务</w:t>
      </w:r>
    </w:p>
    <w:p>
      <w:pPr>
        <w:pStyle w:val="ListParagraph"/>
        <w:numPr>
          <w:ilvl w:val="0"/>
          <w:numId w:val="2"/>
        </w:numPr>
        <w:spacing w:after="80" w:line="280"/>
      </w:pPr>
      <w:r>
        <w:rPr>
          <w:sz w:val="22"/>
          <w:szCs w:val="22"/>
        </w:rPr>
        <w:t xml:space="preserve">汽车码头和相关物流业务</w:t>
      </w:r>
    </w:p>
    <w:p>
      <w:pPr>
        <w:pStyle w:val="ListParagraph"/>
        <w:numPr>
          <w:ilvl w:val="0"/>
          <w:numId w:val="2"/>
        </w:numPr>
        <w:spacing w:after="80" w:line="280"/>
      </w:pPr>
      <w:r>
        <w:rPr>
          <w:sz w:val="22"/>
          <w:szCs w:val="22"/>
        </w:rPr>
        <w:t xml:space="preserve">散杂货码头和相关物流业务</w:t>
      </w:r>
    </w:p>
    <w:p>
      <w:pPr>
        <w:pStyle w:val="ListParagraph"/>
        <w:numPr>
          <w:ilvl w:val="0"/>
          <w:numId w:val="2"/>
        </w:numPr>
        <w:spacing w:after="80" w:line="280"/>
      </w:pPr>
      <w:r>
        <w:rPr>
          <w:sz w:val="22"/>
          <w:szCs w:val="22"/>
        </w:rPr>
        <w:t xml:space="preserve">散粮码头和相关物流业务</w:t>
      </w:r>
    </w:p>
    <w:p>
      <w:pPr>
        <w:pStyle w:val="ListParagraph"/>
        <w:numPr>
          <w:ilvl w:val="0"/>
          <w:numId w:val="2"/>
        </w:numPr>
        <w:spacing w:after="80" w:line="280"/>
      </w:pPr>
      <w:r>
        <w:rPr>
          <w:sz w:val="22"/>
          <w:szCs w:val="22"/>
        </w:rPr>
        <w:t xml:space="preserve">客运滚装码头和相关物流业务</w:t>
      </w:r>
    </w:p>
    <w:p>
      <w:pPr>
        <w:pStyle w:val="ListParagraph"/>
        <w:numPr>
          <w:ilvl w:val="0"/>
          <w:numId w:val="2"/>
        </w:numPr>
        <w:spacing w:after="80" w:line="280"/>
      </w:pPr>
      <w:r>
        <w:rPr>
          <w:sz w:val="22"/>
          <w:szCs w:val="22"/>
        </w:rPr>
        <w:t xml:space="preserve">港口增值及支持业务，包括拖轮、铁路装卸和运输、工程项目、信息服务、港口物流、保税仓储、混配加工及临港贸易等</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辽港股份位于港口物流产业链的中游基础设施运营环节，本质上是以大连港、营口港为核心的区域性综合港口运营商。公司通过深水泊位、岸线、堆场、储罐、铁路及集疏运体系、装卸设备和港口经营资质，提供装卸、仓储、中转、运输、港务管理及港口物流增值服务，并向海铁联运、保税仓储、混配加工、临港贸易、全程物流和港口信息服务延伸。</w:t>
      </w:r>
    </w:p>
    <w:p>
      <w:pPr>
        <w:pStyle w:val="ListParagraph"/>
        <w:numPr>
          <w:ilvl w:val="0"/>
          <w:numId w:val="2"/>
        </w:numPr>
        <w:spacing w:after="80" w:line="280"/>
      </w:pPr>
      <w:r>
        <w:rPr>
          <w:sz w:val="22"/>
          <w:szCs w:val="22"/>
        </w:rPr>
        <w:t xml:space="preserve">主要投入并非可直接转售的原材料，而是码头岸线、泊位、堆场、储罐等固定资产，以及岸桥、门机、装卸机械、拖轮和运输设备。</w:t>
      </w:r>
    </w:p>
    <w:p>
      <w:pPr>
        <w:pStyle w:val="ListParagraph"/>
        <w:numPr>
          <w:ilvl w:val="0"/>
          <w:numId w:val="2"/>
        </w:numPr>
        <w:spacing w:after="80" w:line="280"/>
      </w:pPr>
      <w:r>
        <w:rPr>
          <w:sz w:val="22"/>
          <w:szCs w:val="22"/>
        </w:rPr>
        <w:t xml:space="preserve">其他主要成本投入包括电力、燃油、维修材料和辅助材料，装卸、理货、运输、劳务外包等外协服务，铁路运输、船舶租赁及相关港口物流服务，以及港口运营人员和安全环保投入。</w:t>
      </w:r>
    </w:p>
    <w:p>
      <w:pPr>
        <w:pStyle w:val="ListParagraph"/>
        <w:numPr>
          <w:ilvl w:val="0"/>
          <w:numId w:val="2"/>
        </w:numPr>
        <w:spacing w:after="80" w:line="280"/>
      </w:pPr>
      <w:r>
        <w:rPr>
          <w:sz w:val="22"/>
          <w:szCs w:val="22"/>
        </w:rPr>
        <w:t xml:space="preserve">2024年部分业务折旧摊销和人工成本分别为：油品业务4.04亿元和2.56亿元，集装箱业务5.49亿元和3.23亿元，散杂货业务6.38亿元和6.16亿元，散粮业务1.52亿元和0.95亿元，增值服务2.60亿元和6.31亿元，体现出重资产和劳动密集特征。</w:t>
      </w:r>
    </w:p>
    <w:p>
      <w:pPr>
        <w:pStyle w:val="ListParagraph"/>
        <w:numPr>
          <w:ilvl w:val="0"/>
          <w:numId w:val="2"/>
        </w:numPr>
        <w:spacing w:after="80" w:line="280"/>
      </w:pPr>
      <w:r>
        <w:rPr>
          <w:sz w:val="22"/>
          <w:szCs w:val="22"/>
        </w:rPr>
        <w:t xml:space="preserve">2024年前五名供应商采购额为8.18亿元，占年度采购总额约9%；其中关联方采购额约0.50亿元，占采购总额约1%。年报未显示公司向单一供应商采购超过50%，前五名供应商集中度不高。</w:t>
      </w:r>
    </w:p>
    <w:p>
      <w:pPr>
        <w:pStyle w:val="ListParagraph"/>
        <w:numPr>
          <w:ilvl w:val="0"/>
          <w:numId w:val="2"/>
        </w:numPr>
        <w:spacing w:after="80" w:line="280"/>
      </w:pPr>
      <w:r>
        <w:rPr>
          <w:sz w:val="22"/>
          <w:szCs w:val="22"/>
        </w:rPr>
        <w:t xml:space="preserve">公司对普通采购和一般劳务供应商的议价能力相对较强，但对人工成本、铁路运输、船舶租赁、能源价格及大型港机设备维护等成本缺乏完全控制力；折旧、租赁和维护成本较为刚性，吞吐量下降时经营杠杆可能放大。</w:t>
      </w:r>
    </w:p>
    <w:p>
      <w:pPr>
        <w:pStyle w:val="ListParagraph"/>
        <w:numPr>
          <w:ilvl w:val="0"/>
          <w:numId w:val="2"/>
        </w:numPr>
        <w:spacing w:after="80" w:line="280"/>
      </w:pPr>
      <w:r>
        <w:rPr>
          <w:sz w:val="22"/>
          <w:szCs w:val="22"/>
        </w:rPr>
        <w:t xml:space="preserve">下游客户包括炼油和石化企业，钢铁企业、矿石贸易商和煤炭贸易商，集装箱班轮公司及货代企业，汽车制造商、汽车贸易商和滚装船公司，粮食贸易商、粮油加工企业和饲料企业，以及铁路运输企业、物流企业和港口综合服务客户。</w:t>
      </w:r>
    </w:p>
    <w:p>
      <w:pPr>
        <w:pStyle w:val="ListParagraph"/>
        <w:numPr>
          <w:ilvl w:val="0"/>
          <w:numId w:val="2"/>
        </w:numPr>
        <w:spacing w:after="80" w:line="280"/>
      </w:pPr>
      <w:r>
        <w:rPr>
          <w:sz w:val="22"/>
          <w:szCs w:val="22"/>
        </w:rPr>
        <w:t xml:space="preserve">2024年前五名客户销售额为16.11亿元，占年度销售总额约15%；其中关联方销售额1.99亿元，占年度销售总额约2%。公司未披露单一客户销售超过50%，整体销售客户集中度不高。该数据对应2024年年度报告口径。</w:t>
      </w:r>
    </w:p>
    <w:p>
      <w:pPr>
        <w:pStyle w:val="ListParagraph"/>
        <w:numPr>
          <w:ilvl w:val="0"/>
          <w:numId w:val="2"/>
        </w:numPr>
        <w:spacing w:after="80" w:line="280"/>
      </w:pPr>
      <w:r>
        <w:rPr>
          <w:sz w:val="22"/>
          <w:szCs w:val="22"/>
        </w:rPr>
        <w:t xml:space="preserve">港口标准化装卸业务的收费和作业价格受到区域竞争、港口收费政策、船公司议价及货主货量影响，公司并非完全意义上的价格制定者。</w:t>
      </w:r>
    </w:p>
    <w:p>
      <w:pPr>
        <w:pStyle w:val="ListParagraph"/>
        <w:numPr>
          <w:ilvl w:val="0"/>
          <w:numId w:val="2"/>
        </w:numPr>
        <w:spacing w:after="80" w:line="280"/>
      </w:pPr>
      <w:r>
        <w:rPr>
          <w:sz w:val="22"/>
          <w:szCs w:val="22"/>
        </w:rPr>
        <w:t xml:space="preserve">深水专业泊位、特定储罐、矿石混配、粮食保税仓储及东北腹地海铁联运节点具有一定不可替代性，公司在这些业务上的议价能力强于普通港口作业。</w:t>
      </w:r>
    </w:p>
    <w:p>
      <w:pPr>
        <w:pStyle w:val="ListParagraph"/>
        <w:numPr>
          <w:ilvl w:val="0"/>
          <w:numId w:val="2"/>
        </w:numPr>
        <w:spacing w:after="80" w:line="280"/>
      </w:pPr>
      <w:r>
        <w:rPr>
          <w:sz w:val="22"/>
          <w:szCs w:val="22"/>
        </w:rPr>
        <w:t xml:space="preserve">截至2024年12月31日，应收账款最大客户占比约80%，前五大客户占比约84%；其中大连恩埃斯凯国际贸易有限公司相关仓储费应收款约26.02亿元，占应收账款余额较高。相关货物被约定不得中转，直至欠缴费用结清。上述应收账款集中度数据来自2024年年度报告，但单一大额仓储费客户情况不能外推为全部客户的普遍信用质量。</w:t>
      </w:r>
    </w:p>
    <w:p>
      <w:pPr>
        <w:pStyle w:val="ListParagraph"/>
        <w:numPr>
          <w:ilvl w:val="0"/>
          <w:numId w:val="2"/>
        </w:numPr>
        <w:spacing w:after="80" w:line="280"/>
      </w:pPr>
      <w:r>
        <w:rPr>
          <w:sz w:val="22"/>
          <w:szCs w:val="22"/>
        </w:rPr>
        <w:t xml:space="preserve">截至2024年12月31日，应收账款账面余额约32.56亿元，约占2024年营业收入29.4%，约为归母净利润的2.85倍；其中有担保应收账款约26.02亿元。应付账款约3.96亿元，合同负债约2.85亿元，主要为作业包干费、港杂费和运费等客户预收款。数据表明，部分普通港口作业具备预收或按合同节点收款特征，但油品仓储等业务存在较大长期应收款，可能造成营运资金占用和信用减值风险。</w:t>
      </w:r>
    </w:p>
    <w:p>
      <w:pPr>
        <w:pStyle w:val="ListParagraph"/>
        <w:numPr>
          <w:ilvl w:val="0"/>
          <w:numId w:val="2"/>
        </w:numPr>
        <w:spacing w:after="80" w:line="280"/>
      </w:pPr>
      <w:r>
        <w:rPr>
          <w:sz w:val="22"/>
          <w:szCs w:val="22"/>
        </w:rPr>
        <w:t xml:space="preserve">供应端：2024年前五名供应商采购额占年度采购总额约9%，关联方采购额占比约1%，集中度不高，且年报未显示单一供应商采购超过50%。销售端：2024年前五名客户销售额占年度销售总额约15%，整体收入客户集中度不高；但截至2024年12月31日，应收账款前五大客户占比约84%、最大客户占比约80%，应收账款集中度显著高于销售收入集中度。上述集中度数据主要来自公司2024年年度报告；研究纪要未提供其他年度可交叉核实的客户集中度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约10.8%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港口主业总体稳定，但散杂货、油品及部分综合物流业务仍受到周期和成本因素影响，利润率处于近年相对偏低水平。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集装箱、油品和客运滚装业务量有所增长，人工成本和折旧等成本管控改善，推动毛利率和归母净利率小幅提升；但散杂货业务量下降，限制了整体利润增幅。</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约10.3%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油品仓储收入下降，油品业务毛利率由36.7%降至3.1%；散杂货受铁矿石和钢材吞吐量下降影响，毛利率由29.4%降至24.1%；集装箱业务受价格下降和折旧增加影响，毛利率由30.8%降至27.9%。增值服务毛利率升至30.3%，但不足以抵消油品和散杂货业务下滑。</w:t>
            </w:r>
          </w:p>
        </w:tc>
      </w:tr>
    </w:tbl>
    <w:p>
      <w:pPr>
        <w:spacing w:before="200"/>
      </w:pPr>
    </w:p>
    <w:p>
      <w:pPr>
        <w:spacing w:after="160" w:line="300"/>
      </w:pPr>
      <w:r>
        <w:rPr>
          <w:sz w:val="22"/>
          <w:szCs w:val="22"/>
        </w:rPr>
        <w:t xml:space="preserve">公司处于港口物流产业链的中游基础设施运营环节，属于“区域性深水港口+综合物流服务”企业，既不是上游资源品公司，也不是具有强品牌溢价的下游企业。其利润改善主要取决于高毛利油品仓储和集装箱业务恢复、专业化货种结构优化、泊位利用率提升、海铁联运及港口增值服务增长，以及人工、折旧和租赁等固定成本的有效摊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53.496亿元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同比下降6.0%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归母净利润8.849亿元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同比下降7.4%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56.927亿元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未披露同比增速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归母净利润9.557亿元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未披露同比增速</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113.589亿元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同比增长2.64%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归母净利润13.068亿元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同比增长14.23%</w:t>
            </w:r>
          </w:p>
        </w:tc>
      </w:tr>
    </w:tbl>
    <w:p>
      <w:pPr>
        <w:spacing w:after="200"/>
      </w:pPr>
      <w:r>
        <w:rPr>
          <w:i/>
          <w:iCs/>
          <w:color w:val="595959"/>
          <w:sz w:val="18"/>
          <w:szCs w:val="18"/>
        </w:rPr>
        <w:t xml:space="preserve">2026年上半年扣除非经常性损益后的归母净利润约7.8亿元，同比下降约17.3%，该数据来自招商证券对公司半年度报告的解读，正式财报具体口径以公司披露报表为准。2026年上半年基本每股收益约0.04元，毛利16.261亿元，同比下降9.3%，毛利率30.4%，较2025年上半年下降1.1个百分点；管理费用3.593亿元，同比增长9.3%；财务费用1.637亿元，同比下降21.6%；投资收益1.485亿元，同比增长40.2%；信用减值损失转回/收益约1.197亿元。2025年度扣非归母净利润12.902亿元，同比增长43.01%，基本每股收益0.0548元，同比增长14.81%，毛利率28.6%，经营活动产生的现金流量净额56.781亿元，同比增长32.44%。</w:t>
      </w:r>
    </w:p>
    <w:p>
      <w:pPr>
        <w:spacing w:after="160" w:line="300"/>
      </w:pPr>
      <w:r>
        <w:rPr>
          <w:sz w:val="22"/>
          <w:szCs w:val="22"/>
        </w:rPr>
        <w:t xml:space="preserve">2025年公司收入、归母净利润和扣非净利润均实现增长，毛利率及经营活动现金流改善，利润增速高于收入增速主要受营业成本下降、毛利率提升及信用减值损失减少等因素影响。2026年上半年业绩有所回落，营业收入和归母净利润分别同比下降6.0%和7.4%，扣非净利润降幅更大，主要受到散粮、油品和客滚业务量下滑影响；集装箱及钢铁等散杂货业务量增长形成一定对冲。财务费用下降、投资收益增加及信用减值转回对利润形成支撑，但部分因素并非主营业务持续性增长。</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日，同花顺盈利预测页面显示近6个月内仅有1家机构对辽港股份进行业绩预测，预测覆盖度较低，不属于充分的多机构一致预期。预测EPS均四舍五入为0.06元，实际年度EPS可能存在小数位差异。招商证券2026年研报预计2026—2028年归母净利润分别为14.1亿元、14.9亿元和15.2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未披露可核实的机构一致预测数据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14.06亿元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较2025年预测增速7.59%</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0.06元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未披露可核实的机构一致预测数据</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未披露可核实的机构一致预测数据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15.23亿元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0.06元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根据2026年半年度业绩预计2026—2028年归母净利润分别为14.1亿元、14.9亿元和15.2亿元；给出2026年预测PE约24.6倍、预测PB约0.8倍，未检索到明确的A股目标价。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最近6个月暂无买入、增持、中性、减持或卖出评级记录</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截至2026年9月初</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该页面与招商证券公开研报的“增持”信息存在口径或更新时间差异，应以招商证券原始研报及公司公告为准。</w:t>
            </w:r>
          </w:p>
        </w:tc>
      </w:tr>
    </w:tbl>
    <w:p>
      <w:pPr>
        <w:spacing w:before="200"/>
      </w:pPr>
    </w:p>
    <w:p>
      <w:pPr>
        <w:spacing w:after="160" w:line="300"/>
      </w:pPr>
      <w:r>
        <w:rPr>
          <w:sz w:val="22"/>
          <w:szCs w:val="22"/>
        </w:rPr>
        <w:t xml:space="preserve">估值数据主要截至2026年9月11日收盘。以1.47元作为收盘估值参考，对应总市值约346.50亿元，市盈率TTM约28.05倍，动态市盈率19.60倍，静态市盈率26.82倍，市净率0.86倍；另一市场数据源显示股价约1.50元、市净率约0.87倍，差异可能来自数据刷新时间及复权口径。按机构预测EPS计算，2026—2028年预测PE均约24.5倍；按2025年基本每股收益0.0548元计算，静态PE约26.8倍。按2026年上半年末归属于上市公司股东权益约400.5亿元、总股本约230亿股估算，每股净资产约1.74元，以1.47元股价计算PB约0.85倍，与市场显示的0.86—0.87倍基本一致。辽港股份属于重资产港口运营企业，PB低于1倍具有一定行业特征，但PE并不特别低，当前估值更多体现资产折价、稳定现金流及潜在国企改革或资产整合预期，而非高成长预期。主要估值风险包括港口货物吞吐量持续下降、钢铁及大宗商品相关需求疲弱、港口收费政策变化、国际贸易环境恶化，以及利润增长依赖投资收益和减值转回等非主营因素。</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焦广军离任，独立董事比例暂时不符合上市规则要求</w:t>
      </w:r>
    </w:p>
    <w:p>
      <w:pPr>
        <w:spacing w:after="160" w:line="300"/>
      </w:pPr>
      <w:r>
        <w:rPr>
          <w:sz w:val="22"/>
          <w:szCs w:val="22"/>
        </w:rPr>
        <w:t xml:space="preserve">2026年9月11日，公司收到焦广军提交的书面辞呈。焦广军原任公司独立非执行董事、董事会提名及薪酬委员会主席，离任原因是原任职单位关于退休人员对外任职的管理要求。辞任自股东会选举产生新任独立非执行董事之日起生效，在新任独立董事产生前，焦广军将继续履行相关职责。其离任后，公司第八届董事会仅剩2名独立非执行董事，独立董事比例及提名及薪酬委员会人员构成暂时不符合A股、H股上市规则要求。公司公告称，将在收到辞呈之日起60日内完成独立董事补选。该事项属于公司治理和合规事项，短期重点为独立董事补选进展。公告日期为2026年9月12日。</w:t>
      </w:r>
    </w:p>
    <w:p>
      <w:pPr>
        <w:pStyle w:val="Heading2"/>
        <w:spacing w:after="120" w:before="240"/>
      </w:pPr>
      <w:r>
        <w:rPr>
          <w:b/>
          <w:bCs/>
          <w:color w:val="2E74B5"/>
          <w:sz w:val="24"/>
          <w:szCs w:val="24"/>
        </w:rPr>
        <w:t xml:space="preserve">4.2 董事会聘任刘成为公司总经理</w:t>
      </w:r>
    </w:p>
    <w:p>
      <w:pPr>
        <w:spacing w:after="160" w:line="300"/>
      </w:pPr>
      <w:r>
        <w:rPr>
          <w:sz w:val="22"/>
          <w:szCs w:val="22"/>
        </w:rPr>
        <w:t xml:space="preserve">公司于2026年9月10日召开第八届董事会2026年第3次临时会议，并于2026年9月11日披露董事会决议公告，审议通过聘任刘成先生为公司总经理，任期自董事会决议通过之日起生效。刘成出生于1972年，具有港口行业管理经历，曾任盘锦港、营口港、辽港控股（营口）有限公司、丹东港口集团有限公司等相关职务，曾任丹东港口集团有限公司总经理。截至公告披露日，刘成未持有公司股份，与公司董事、高级管理人员、实际控制人及持股5%以上股东不存在关联关系，也不存在不得担任上市公司高级管理人员的情形。此次任命属于经营管理层正常调整，当前没有证据表明其与重大经营战略变化或资产重组直接相关。</w:t>
      </w:r>
    </w:p>
    <w:p>
      <w:pPr>
        <w:pStyle w:val="Heading2"/>
        <w:spacing w:after="120" w:before="240"/>
      </w:pPr>
      <w:r>
        <w:rPr>
          <w:b/>
          <w:bCs/>
          <w:color w:val="2E74B5"/>
          <w:sz w:val="24"/>
          <w:szCs w:val="24"/>
        </w:rPr>
        <w:t xml:space="preserve">4.3 公司拟召开2026年半年度业绩说明会</w:t>
      </w:r>
    </w:p>
    <w:p>
      <w:pPr>
        <w:spacing w:after="160" w:line="300"/>
      </w:pPr>
      <w:r>
        <w:rPr>
          <w:sz w:val="22"/>
          <w:szCs w:val="22"/>
        </w:rPr>
        <w:t xml:space="preserve">公司于2026年9月11日披露《关于召开2026年半年度业绩说明会的公告》，计划于2026年9月21日10:00至11:00召开2026年半年度业绩说明会，就2026年半年度经营成果、财务状况及投资者关注的问题进行交流。公司已于2026年8月31日披露2026年半年度报告。2026年上半年实现营业收入约53.5亿元，同比下降约6.0%；归属于上市公司股东的净利润约8.9亿元，同比下降约7.4%；扣非后归母净利润约7.8亿元，同比下降约17.3%。上述业绩说明会不构成新的业绩预告，后续市场可能关注油化品业务下滑、集装箱业务增长、吞吐量变化及下半年经营安排。</w:t>
      </w:r>
    </w:p>
    <w:p>
      <w:pPr>
        <w:pStyle w:val="Heading2"/>
        <w:spacing w:after="120" w:before="240"/>
      </w:pPr>
      <w:r>
        <w:rPr>
          <w:b/>
          <w:bCs/>
          <w:color w:val="2E74B5"/>
          <w:sz w:val="24"/>
          <w:szCs w:val="24"/>
        </w:rPr>
        <w:t xml:space="preserve">4.4 H股公众持股比例不足，合规解决方案尚未确定</w:t>
      </w:r>
    </w:p>
    <w:p>
      <w:pPr>
        <w:spacing w:after="160" w:line="300"/>
      </w:pPr>
      <w:r>
        <w:rPr>
          <w:sz w:val="22"/>
          <w:szCs w:val="22"/>
        </w:rPr>
        <w:t xml:space="preserve">公司于2026年9月3日披露《有关公众持股量的最新情况》和《证券变动月报表》。截至公告日期，公司在香港联交所上市并由公众持有的H股市值约为7.34亿港元，占H股类别已发行股份总数约3.67%，低于香港联交所上市规则要求的最低公众持股比例。公司表示，正在与相关各方沟通、研判和论证可行方案，如形成明确进展将按两地上市监管规则及时披露。截至2026年9月13日，未见主要股东出售部分H股、增发H股或回购注销A股等可能路径已经正式落地的公告。</w:t>
      </w:r>
    </w:p>
    <w:p>
      <w:pPr>
        <w:pStyle w:val="Heading2"/>
        <w:spacing w:after="120" w:before="240"/>
      </w:pPr>
      <w:r>
        <w:rPr>
          <w:b/>
          <w:bCs/>
          <w:color w:val="2E74B5"/>
          <w:sz w:val="24"/>
          <w:szCs w:val="24"/>
        </w:rPr>
        <w:t xml:space="preserve">4.5 暂未发现新的第三季度业绩预告或业绩预警</w:t>
      </w:r>
    </w:p>
    <w:p>
      <w:pPr>
        <w:spacing w:after="160" w:line="300"/>
      </w:pPr>
      <w:r>
        <w:rPr>
          <w:sz w:val="22"/>
          <w:szCs w:val="22"/>
        </w:rPr>
        <w:t xml:space="preserve">截至2026年9月13日，检索到的9月公司公告中未发现新的2026年第三季度业绩预告或业绩预警。公司最新业绩信息主要为2026年8月31日披露的半年度报告，并已安排于2026年9月21日举行半年度业绩说明会。半年度报告显示归属于上市公司股东的净利润同比下降约7.4%，但目前未发现公司据此发布单独的半年度业绩预减公告。该判断基于当前公告列表检索，不能排除后续新增公告的可能。</w:t>
      </w:r>
    </w:p>
    <w:p>
      <w:pPr>
        <w:pStyle w:val="Heading2"/>
        <w:spacing w:after="120" w:before="240"/>
      </w:pPr>
      <w:r>
        <w:rPr>
          <w:b/>
          <w:bCs/>
          <w:color w:val="2E74B5"/>
          <w:sz w:val="24"/>
          <w:szCs w:val="24"/>
        </w:rPr>
        <w:t xml:space="preserve">4.6 暂未发现2026年9月新的回购方案或回购进展</w:t>
      </w:r>
    </w:p>
    <w:p>
      <w:pPr>
        <w:spacing w:after="160" w:line="300"/>
      </w:pPr>
      <w:r>
        <w:rPr>
          <w:sz w:val="22"/>
          <w:szCs w:val="22"/>
        </w:rPr>
        <w:t xml:space="preserve">截至2026年9月13日，未发现公司在2026年9月新披露股份回购方案、回购进展或回购注销公告。公司于2026年9月2日投资者互动回复中表示，近年来已实施多轮股份回购注销、现金分红和控股股东增持等市值管理措施，后续将继续研究各类市值管理工具；该回复不等同于公司已经启动新的回购计划。公司最近一次具有明确金额和数量披露的历史回购事项为实际回购333,707,456股、实际回购金额约5.448亿元，回购股份用于注销。</w:t>
      </w:r>
    </w:p>
    <w:p>
      <w:pPr>
        <w:pStyle w:val="Heading2"/>
        <w:spacing w:after="120" w:before="240"/>
      </w:pPr>
      <w:r>
        <w:rPr>
          <w:b/>
          <w:bCs/>
          <w:color w:val="2E74B5"/>
          <w:sz w:val="24"/>
          <w:szCs w:val="24"/>
        </w:rPr>
        <w:t xml:space="preserve">4.7 暂未发现主要股东新增增持或减持计划</w:t>
      </w:r>
    </w:p>
    <w:p>
      <w:pPr>
        <w:spacing w:after="160" w:line="300"/>
      </w:pPr>
      <w:r>
        <w:rPr>
          <w:sz w:val="22"/>
          <w:szCs w:val="22"/>
        </w:rPr>
        <w:t xml:space="preserve">截至2026年9月13日，未发现公司披露控股股东或主要股东新增增持、减持计划及实施公告。2026年9月3日披露的证券变动月报表主要反映股份数量及公众持股情况，未显示A股或H股已发行股份数量发生变化。9月互动回复中提及的控股股东增持，主要是对历史市值管理措施的概括，并非9月已经发生的新一笔增持。</w:t>
      </w:r>
    </w:p>
    <w:p>
      <w:pPr>
        <w:pStyle w:val="Heading2"/>
        <w:spacing w:after="120" w:before="240"/>
      </w:pPr>
      <w:r>
        <w:rPr>
          <w:b/>
          <w:bCs/>
          <w:color w:val="2E74B5"/>
          <w:sz w:val="24"/>
          <w:szCs w:val="24"/>
        </w:rPr>
        <w:t xml:space="preserve">4.8 铁矿石指定交割仓库项目仍处于申请阶段</w:t>
      </w:r>
    </w:p>
    <w:p>
      <w:pPr>
        <w:spacing w:after="160" w:line="300"/>
      </w:pPr>
      <w:r>
        <w:rPr>
          <w:sz w:val="22"/>
          <w:szCs w:val="22"/>
        </w:rPr>
        <w:t xml:space="preserve">公司于2026年8月31日披露《关于向大连商品交易所申请设立铁矿石指定交割仓库及铁矿石指定保税交割仓库的公告》。截至2026年9月13日，该事项仍属于向大连商品交易所申请设立相关仓库，不能视为资质已经获批或项目已经正式运营。公司于2026年9月8日投资者互动回复中表示，项目收益可能主要来自铁矿石仓储费、期货入库及出库等交割服务费，以及交割资质带来的矿石装卸、堆存等现货业务增量收益。项目收益、投产时间及对业绩的贡献均存在不确定性。</w:t>
      </w:r>
    </w:p>
    <w:p>
      <w:pPr>
        <w:pStyle w:val="Heading2"/>
        <w:spacing w:after="120" w:before="240"/>
      </w:pPr>
      <w:r>
        <w:rPr>
          <w:b/>
          <w:bCs/>
          <w:color w:val="2E74B5"/>
          <w:sz w:val="24"/>
          <w:szCs w:val="24"/>
        </w:rPr>
        <w:t xml:space="preserve">4.9 暂未发现新的重大并购、资产重组或锦州港破产重组公告</w:t>
      </w:r>
    </w:p>
    <w:p>
      <w:pPr>
        <w:spacing w:after="160" w:line="300"/>
      </w:pPr>
      <w:r>
        <w:rPr>
          <w:sz w:val="22"/>
          <w:szCs w:val="22"/>
        </w:rPr>
        <w:t xml:space="preserve">截至2026年9月13日，未检索到公司在2026年9月披露新的重大资产重组、并购交易或参与锦州港破产重组的公告。公司此前在投资者互动回复中表示，如发生资产重组等重大事项，将第一时间依规披露。</w:t>
      </w:r>
    </w:p>
    <w:p>
      <w:pPr>
        <w:pStyle w:val="Heading2"/>
        <w:spacing w:after="120" w:before="240"/>
      </w:pPr>
      <w:r>
        <w:rPr>
          <w:b/>
          <w:bCs/>
          <w:color w:val="2E74B5"/>
          <w:sz w:val="24"/>
          <w:szCs w:val="24"/>
        </w:rPr>
        <w:t xml:space="preserve">4.10 暂未发现新的监管处罚或纪律处分信息</w:t>
      </w:r>
    </w:p>
    <w:p>
      <w:pPr>
        <w:spacing w:after="160" w:line="300"/>
      </w:pPr>
      <w:r>
        <w:rPr>
          <w:sz w:val="22"/>
          <w:szCs w:val="22"/>
        </w:rPr>
        <w:t xml:space="preserve">截至2026年9月13日，未发现中国证监会、上海证券交易所或香港联交所针对辽港股份发布新的行政处罚、纪律处分或监管措施公告。近期与公司直接相关的合规重点为H股公众持股比例不足，以及焦广军离任后独立董事比例暂时不符合上市规则要求。</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-0.03元/-2.00%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1.49元/1.50元/1.45元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105.03万手，约1.050亿股/约1.54亿元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约346.50亿元/约270.67亿元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动态市盈率/市盈率TTM/市净率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约19.60倍/约28.05倍/约0.86倍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约1.36~1.94元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约1.474元/1.466元/1.464元，截至2026年9月11日自行计算，未复权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收盘价略高于MA10和MA20，MA5高于MA10、MA20，但均线间距较小，尚未形成明显趋势性多头排列，整体更接近均线纠缠和箱体震荡。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截至2026年9月2日，柱体接近零轴且偏绿；近5日绿柱收缩。2026年9月11日收盘后的完整数值缺失，且无法交叉核验</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此前下跌动能有所减弱，但尚未形成明确强势金叉；需观察后续是否出现连续红柱并伴随成交量放大。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约47，截至2026年9月2日；2026年9月11日收盘后的最新数值缺失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处于30至70的中性区间，近5日走弱，不属于超买或超卖。若后续重新站上50并持续上行，配合价格突破1.50~1.52元，反弹动能才更具确认度；若跌向40以下并跌破1.43~1.45元，短线偏弱信号增强。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20日均线、2倍标准差：中轨约1.464元，上轨约1.49元，下轨约1.44元；截至2026年9月11日自行计算，未复权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布林带相对收窄，当前价格1.47元位于中部偏上，尚未形成向上突破或向下破位。不同复权方式、样本区间和标准差口径可能造成小幅差异。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价格结构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2026年8月11日至9月11日收盘价主要运行于1.43~1.50元；近20日高点约1.52元、低点约1.43元；近60日高点约1.55元、低点约1.33元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1.45元附近为近期成交和收盘密集区域，1.50~1.52元构成短期压力带，1.43~1.45元为近期反复测试的支撑区域。</w:t>
            </w:r>
          </w:p>
        </w:tc>
      </w:tr>
    </w:tbl>
    <w:p>
      <w:pPr>
        <w:spacing w:before="200"/>
      </w:pPr>
    </w:p>
    <w:p>
      <w:pPr>
        <w:spacing w:after="160" w:line="300"/>
      </w:pPr>
      <w:r>
        <w:rPr>
          <w:sz w:val="22"/>
          <w:szCs w:val="22"/>
        </w:rPr>
        <w:t xml:space="preserve">辽港股份近期处于窄幅箱体震荡状态。2026年9月11日收盘价1.47元，略高于MA10和MA20，但低于前一交易日收盘价1.50元；布林带位于相对收窄状态，价格处于中轨偏上。MACD处于零轴附近、方向性不强，RSI约47且为滞后数据，当前尚未出现明确的单边趋势确认。近期1.50~1.52元为上方压力区域，1.43~1.45元为主要支撑区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1.50~1.52元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依据为2026年9月11日最高价1.50元、9月10日最高价1.51元及近20日高点约1.52元。若放量突破并连续收盘站稳1.52元，观察上方1.55元附近，即近60日高点区域；若冲高但成交额不能维持在近期均值以上，需警惕假突破。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1.45~1.47元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近期多次收盘和最低价集中于该区域，MA10和MA20约在1.46元附近。若在该区域缩量企稳，仍可视为箱体震荡；若有效跌破1.45元，短线运行重心可能下移至1.42~1.44元。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1.42~1.44元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依据为近期阶段低点约1.43元、布林下轨约1.44元及技术页面回调参考区间。若该区域被放量跌破，下一步需关注1.36~1.40元区间，其中1.36元为公开数据中的52周低点。</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是基于当前技术形态、成交活跃度和资金流向的主观启发式判断，不是统计概率）：价格区间约1.45~1.51元。触发条件为股价继续围绕MA10、MA20运行，成交额维持约1.0亿~1.5亿元，既未有效突破1.52元，也未有效跌破1.43~1.45元；同时MACD继续在零轴附近徘徊、RSI保持中性。</w:t>
      </w:r>
    </w:p>
    <w:p>
      <w:pPr>
        <w:pStyle w:val="ListParagraph"/>
        <w:numPr>
          <w:ilvl w:val="0"/>
          <w:numId w:val="2"/>
        </w:numPr>
        <w:spacing w:after="80" w:line="280"/>
      </w:pPr>
      <w:r>
        <w:rPr>
          <w:sz w:val="22"/>
          <w:szCs w:val="22"/>
        </w:rPr>
        <w:t xml:space="preserve">偏弱下行（权重中等；为基于当前技术和资金背景的主观判断，不是统计概率）：价格区间约1.40~1.45元。触发条件为收盘跌破1.45元，且单日成交额明显高于近期均值，同时主力资金继续净流出或港口航运板块同步走弱。若1.42~1.44元区域也被放量跌破，下方可能进一步测试1.36~1.40元区间。</w:t>
      </w:r>
    </w:p>
    <w:p>
      <w:pPr>
        <w:pStyle w:val="ListParagraph"/>
        <w:numPr>
          <w:ilvl w:val="0"/>
          <w:numId w:val="2"/>
        </w:numPr>
        <w:spacing w:after="80" w:line="280"/>
      </w:pPr>
      <w:r>
        <w:rPr>
          <w:sz w:val="22"/>
          <w:szCs w:val="22"/>
        </w:rPr>
        <w:t xml:space="preserve">反弹走强（权重偏低至中等；为基于当前技术和资金背景的主观判断，不是统计概率）：价格区间约1.50~1.55元。触发条件为股价放量突破1.50~1.52元，并至少一个交易日收盘站稳1.52元；同时成交额明显高于近期5日均值、MACD柱体转为连续放大、RSI重新站上50。若上述条件成立，短线才具备向1.55元附近扩展的技术确认度。</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近5个交易日成交额分别为：9月11日1.54亿元、9月10日1.58亿元、9月9日1.82亿元、9月8日0.97亿元、9月7日0.71亿元，最近5日平均成交额约1.32亿元，平均换手率约0.44%；9月11日换手率0.57%，成交额略高于近期均值，但当日收跌2%，更接近放量换手，不能据此确认趋势性资金流入。可检索的最新明确主力资金数据截至2026年9月10日，主力资金净流出约148.76万元，融资净买入约182.94万元；截至9月11日尚未找到可交叉核实的完整主力资金收盘数据。2026年6月30日半年度报告期末，股东总数为204,895户，前十大股东合计持股约189.62亿股，占总股本约80.43%。前十大股东主要为控股股东、实际控制人体系内国有法人、产业股东及H股股东；华夏国证自由现金流ETF持股约0.26%，沪股通A股持股约0.41%，公募基金或指数基金在前十大股东中的比例较低。上述股东结构数据截至2026年6月30日，距离当前收盘日已有两个多月，期间可能发生变化，不能视为2026年9月11日的实时筹码结构。低换手率与较高股东集中度结合，意味着日常成交活跃度和盘口深度可能有限，短线资金推动能力相对有限，价格更容易表现为小幅波动和区间震荡；若出现集中性资金流入，股价可能较快靠近压力区，若缺乏增量资金，则容易回到1.45元附近震荡。</w:t>
      </w:r>
    </w:p>
    <w:p>
      <w:pPr>
        <w:spacing w:after="160" w:line="300"/>
      </w:pPr>
      <w:r>
        <w:rPr>
          <w:sz w:val="22"/>
          <w:szCs w:val="22"/>
        </w:rPr>
        <w:t xml:space="preserve">可检查的成交确认信号是：若后续单日成交额能够连续放大至约2亿元以上，同时价格收盘突破并站稳1.52元，可视为突破得到成交配合的观察信号；若成交额低于1亿元且价格跌破1.45元，则更接近弱势回落或箱体下沿测试。</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观察1.50~1.52元能否被放量突破并站稳，该区域是短期压力和近20日高点密集区。</w:t>
      </w:r>
    </w:p>
    <w:p>
      <w:pPr>
        <w:pStyle w:val="ListParagraph"/>
        <w:numPr>
          <w:ilvl w:val="0"/>
          <w:numId w:val="2"/>
        </w:numPr>
        <w:spacing w:after="80" w:line="280"/>
      </w:pPr>
      <w:r>
        <w:rPr>
          <w:sz w:val="22"/>
          <w:szCs w:val="22"/>
        </w:rPr>
        <w:t xml:space="preserve">观察1.45~1.47元能否维持；若失守，进一步关注1.42~1.44元强支撑。</w:t>
      </w:r>
    </w:p>
    <w:p>
      <w:pPr>
        <w:pStyle w:val="ListParagraph"/>
        <w:numPr>
          <w:ilvl w:val="0"/>
          <w:numId w:val="2"/>
        </w:numPr>
        <w:spacing w:after="80" w:line="280"/>
      </w:pPr>
      <w:r>
        <w:rPr>
          <w:sz w:val="22"/>
          <w:szCs w:val="22"/>
        </w:rPr>
        <w:t xml:space="preserve">观察成交额能否连续达到约2亿元以上，并与突破1.52元同步出现。</w:t>
      </w:r>
    </w:p>
    <w:p>
      <w:pPr>
        <w:pStyle w:val="ListParagraph"/>
        <w:numPr>
          <w:ilvl w:val="0"/>
          <w:numId w:val="2"/>
        </w:numPr>
        <w:spacing w:after="80" w:line="280"/>
      </w:pPr>
      <w:r>
        <w:rPr>
          <w:sz w:val="22"/>
          <w:szCs w:val="22"/>
        </w:rPr>
        <w:t xml:space="preserve">观察MACD是否从零轴附近转为连续红柱、RSI是否重新站上50；目前两项指标均缺乏截至2026年9月11日的完整最新交叉核验数据。以上均为观察思路，非操作指令。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港口行业是区域性、重资产和基础设施型行业。港口资源受到岸线、航道、水深、土地和环保审批约束，业务与腹地经济、产业结构及外贸进出口高度相关。行业竞争正由单一装卸能力竞争转向港口群、航线网络、海铁联运和全程供应链服务竞争；集装箱、汽车滚装、粮食、油品和矿石等专业化货种需要专用码头、储运设施和客户网络，形成一定进入壁垒。辽港股份所在的环渤海区域港口密集，竞争港口包括天津港、青岛港、唐山港、日照港、秦皇岛港以及山东、河北其他港口。</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港口资源具有较强稀缺性，优质深水港新增受到岸线、航道、水深、土地及环保审批约束。</w:t>
      </w:r>
    </w:p>
    <w:p>
      <w:pPr>
        <w:pStyle w:val="ListParagraph"/>
        <w:numPr>
          <w:ilvl w:val="0"/>
          <w:numId w:val="2"/>
        </w:numPr>
        <w:spacing w:after="80" w:line="280"/>
      </w:pPr>
      <w:r>
        <w:rPr>
          <w:sz w:val="22"/>
          <w:szCs w:val="22"/>
        </w:rPr>
        <w:t xml:space="preserve">大型港口之间存在明显区域竞争，省级港口资源整合趋势持续，竞争由单一港口逐步转向港口群、通道和集疏运体系。</w:t>
      </w:r>
    </w:p>
    <w:p>
      <w:pPr>
        <w:pStyle w:val="ListParagraph"/>
        <w:numPr>
          <w:ilvl w:val="0"/>
          <w:numId w:val="2"/>
        </w:numPr>
        <w:spacing w:after="80" w:line="280"/>
      </w:pPr>
      <w:r>
        <w:rPr>
          <w:sz w:val="22"/>
          <w:szCs w:val="22"/>
        </w:rPr>
        <w:t xml:space="preserve">集装箱、汽车滚装、粮食、油品和矿石等专业化货种依赖专用码头、储运设施及客户网络，具有一定进入壁垒。</w:t>
      </w:r>
    </w:p>
    <w:p>
      <w:pPr>
        <w:pStyle w:val="ListParagraph"/>
        <w:numPr>
          <w:ilvl w:val="0"/>
          <w:numId w:val="2"/>
        </w:numPr>
        <w:spacing w:after="80" w:line="280"/>
      </w:pPr>
      <w:r>
        <w:rPr>
          <w:sz w:val="22"/>
          <w:szCs w:val="22"/>
        </w:rPr>
        <w:t xml:space="preserve">港口经营成本中折旧、人工、租赁和维护成本较高，利润受到吞吐量和费率变化影响较大。</w:t>
      </w:r>
    </w:p>
    <w:p>
      <w:pPr>
        <w:pStyle w:val="ListParagraph"/>
        <w:numPr>
          <w:ilvl w:val="0"/>
          <w:numId w:val="2"/>
        </w:numPr>
        <w:spacing w:after="80" w:line="280"/>
      </w:pPr>
      <w:r>
        <w:rPr>
          <w:sz w:val="22"/>
          <w:szCs w:val="22"/>
        </w:rPr>
        <w:t xml:space="preserve">2024年全国港口货物吞吐量和集装箱吞吐量继续增长，研究纪要称集装箱业务整体景气度好于部分传统散杂货货种。</w:t>
      </w:r>
    </w:p>
    <w:p>
      <w:pPr>
        <w:pStyle w:val="ListParagraph"/>
        <w:numPr>
          <w:ilvl w:val="0"/>
          <w:numId w:val="2"/>
        </w:numPr>
        <w:spacing w:after="80" w:line="280"/>
      </w:pPr>
      <w:r>
        <w:rPr>
          <w:sz w:val="22"/>
          <w:szCs w:val="22"/>
        </w:rPr>
        <w:t xml:space="preserve">辽港股份的相对优势包括大连港东北亚外贸干线和深水港区优势、营口港对辽宁中部及吉林和黑龙江部分腹地的覆盖、大连和营口双港协同、专业化多货种设施以及海铁联运和环渤海支线网络。</w:t>
      </w:r>
    </w:p>
    <w:p>
      <w:pPr>
        <w:pStyle w:val="ListParagraph"/>
        <w:numPr>
          <w:ilvl w:val="0"/>
          <w:numId w:val="2"/>
        </w:numPr>
        <w:spacing w:after="80" w:line="280"/>
      </w:pPr>
      <w:r>
        <w:rPr>
          <w:sz w:val="22"/>
          <w:szCs w:val="22"/>
        </w:rPr>
        <w:t xml:space="preserve">公司的相对劣势包括东北腹地经济总量和产业活跃度低于长三角、珠三角及京津冀部分地区，腹地产业结构对钢铁、石化、粮食和大宗商品依赖较高，且与天津、青岛、唐山、日照等港口存在货源重叠。</w:t>
      </w:r>
    </w:p>
    <w:p>
      <w:pPr>
        <w:pStyle w:val="ListParagraph"/>
        <w:numPr>
          <w:ilvl w:val="0"/>
          <w:numId w:val="2"/>
        </w:numPr>
        <w:spacing w:after="80" w:line="280"/>
      </w:pPr>
      <w:r>
        <w:rPr>
          <w:sz w:val="22"/>
          <w:szCs w:val="22"/>
        </w:rPr>
        <w:t xml:space="preserve">公司公开资料显示旗下运营现代化专业生产泊位217个、万吨级以上泊位174个、港口设计通过能力超过5亿吨，并拥有45万吨级原油码头、40万吨级矿石码头、20万吨级集装箱码头和7万吨级汽车滚装码头。上述数据主要来自公司宣传资料及公开研究资料，可能包含托管企业或不同资产口径，不等同于上市公司合并报表口径，具体以最新年报及港口经营数据核实。</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上港集团（600018）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上海港综合性枢纽港运营商，集装箱业务规模和国际航线网络优势突出。</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与辽港股份均覆盖集装箱、散杂货、港口物流和增值服务；上港集团腹地为长三角和长江经济带，外贸及集装箱资源更强，辽港股份更依赖东北腹地、大宗散货和东北亚通道。</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宁波港（601018）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宁波舟山港运营主体，拥有超大型深水港、集装箱和大宗散货综合优势。</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与辽港股份均拥有深水港和多货种综合港口资产；宁波舟山港连接长三角制造业和全球航运网络，辽港股份在东北亚、原油、矿石、粮食及东北腹地海铁联运方面更具区域特色。</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天津港（600717）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服务京津冀和华北腹地的大型综合港口，覆盖集装箱、煤炭、矿石、汽车和滚装等业务。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同处环渤海港口群，货源结构和港口功能存在一定重叠，是辽港股份较直接的区域竞争对手；天津港腹地连接京津冀和西北地区，辽港股份在东北三省、东北亚外贸及大连—营口双港协同方面更具特色。</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青岛港（601298）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山东半岛大型综合性港口，集装箱、矿石、原油、煤炭和汽车等货种齐全。</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与辽港股份均拥有大型深水港、矿石、原油、集装箱及综合物流业务；青岛港背靠山东及华东腹地，国际贸易和外贸集装箱基础较强，辽港股份重点服务东北腹地和东北亚市场。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招商港口（001872）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港口投资、开发和运营平台，在国内多个港口及海外港口拥有投资布局。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与辽港股份均具有港口网络化、港航物流和综合服务属性；招商港口更偏港口资产投资运营平台，港口网络和海外布局更广，辽港股份则是以大连港、营口港为核心的区域性综合港口运营商。</w:t>
            </w:r>
          </w:p>
        </w:tc>
      </w:tr>
    </w:tbl>
    <w:p>
      <w:pPr>
        <w:spacing w:before="200"/>
      </w:pPr>
    </w:p>
    <w:p>
      <w:pPr>
        <w:spacing w:after="160" w:line="300"/>
      </w:pPr>
      <w:r>
        <w:rPr>
          <w:sz w:val="22"/>
          <w:szCs w:val="22"/>
        </w:rPr>
        <w:t xml:space="preserve">辽港股份的核心竞争力在于大连港和营口港双港协同、东北腹地及东北亚区位、深水专业化泊位、海铁联运网络和多货种综合服务能力；相较上港集团、宁波港和青岛港，其腹地经济活跃度及国际集装箱资源相对弱；相较天津港，其特色更多体现在东北三省、东北亚外贸及大连—营口双港协同。公司与环渤海港口存在货源重叠，且行业比较需注意港口集团、上市公司、合营码头和参股码头之间的资产边界差异，吞吐量、收入和利润数据不宜直接横向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主营货种下滑风险：2026年上半年散粮、油品和客滚业务量下降，若相关业务继续走弱，可能拖累收入、毛利率和归母净利润；其中油品业务2024年毛利率已由36.7%降至3.1%，盈利波动尤为明显。</w:t>
      </w:r>
    </w:p>
    <w:p>
      <w:pPr>
        <w:pStyle w:val="ListParagraph"/>
        <w:numPr>
          <w:ilvl w:val="0"/>
          <w:numId w:val="2"/>
        </w:numPr>
        <w:spacing w:after="80" w:line="280"/>
      </w:pPr>
      <w:r>
        <w:rPr>
          <w:sz w:val="22"/>
          <w:szCs w:val="22"/>
        </w:rPr>
        <w:t xml:space="preserve">腹地需求与区域竞争风险：公司主要服务东北三省、内蒙古东部及环渤海地区，腹地产业结构较依赖钢铁、石化、粮食和大宗商品；同时与天津港、青岛港、唐山港、日照港等港口存在货源重叠，若钢铁、矿石及其他大宗货运需求疲弱或货源分流，吞吐量和费率可能承压。</w:t>
      </w:r>
    </w:p>
    <w:p>
      <w:pPr>
        <w:pStyle w:val="ListParagraph"/>
        <w:numPr>
          <w:ilvl w:val="0"/>
          <w:numId w:val="2"/>
        </w:numPr>
        <w:spacing w:after="80" w:line="280"/>
      </w:pPr>
      <w:r>
        <w:rPr>
          <w:sz w:val="22"/>
          <w:szCs w:val="22"/>
        </w:rPr>
        <w:t xml:space="preserve">固定成本与经营杠杆风险：公司具有重资产和劳动密集特征，折旧、人工、租赁、维修、能源及铁路运输等成本较为刚性；若吞吐量下降或收费价格下行，固定成本难以及时摊薄，可能放大利润降幅。</w:t>
      </w:r>
    </w:p>
    <w:p>
      <w:pPr>
        <w:pStyle w:val="ListParagraph"/>
        <w:numPr>
          <w:ilvl w:val="0"/>
          <w:numId w:val="2"/>
        </w:numPr>
        <w:spacing w:after="80" w:line="280"/>
      </w:pPr>
      <w:r>
        <w:rPr>
          <w:sz w:val="22"/>
          <w:szCs w:val="22"/>
        </w:rPr>
        <w:t xml:space="preserve">应收账款集中及信用减值风险：截至2024年末，应收账款账面余额约32.56亿元，占2024年营业收入约29.4%，最大客户占应收账款约80%，前五大客户占比约84%；其中大连恩埃斯凯国际贸易有限公司相关仓储费应收款约26.02亿元，若回款、货物处置或费用结算不及预期，可能造成营运资金占用及信用减值压力。</w:t>
      </w:r>
    </w:p>
    <w:p>
      <w:pPr>
        <w:pStyle w:val="ListParagraph"/>
        <w:numPr>
          <w:ilvl w:val="0"/>
          <w:numId w:val="2"/>
        </w:numPr>
        <w:spacing w:after="80" w:line="280"/>
      </w:pPr>
      <w:r>
        <w:rPr>
          <w:sz w:val="22"/>
          <w:szCs w:val="22"/>
        </w:rPr>
        <w:t xml:space="preserve">业绩质量波动风险：2026年上半年投资收益同比增长40.2%，并确认约1.197亿元信用减值转回/收益，财务费用下降也对利润形成支撑；若后续缺少这些非主营因素，利润表现可能弱于归母净利润表面增速。</w:t>
      </w:r>
    </w:p>
    <w:p>
      <w:pPr>
        <w:pStyle w:val="ListParagraph"/>
        <w:numPr>
          <w:ilvl w:val="0"/>
          <w:numId w:val="2"/>
        </w:numPr>
        <w:spacing w:after="80" w:line="280"/>
      </w:pPr>
      <w:r>
        <w:rPr>
          <w:sz w:val="22"/>
          <w:szCs w:val="22"/>
        </w:rPr>
        <w:t xml:space="preserve">治理与上市合规风险：焦广军离任后，公司第八届董事会仅剩2名独立董事，独立董事比例及提名、薪酬委员会构成暂时不符合A股和H股上市规则要求，公司需在收到辞呈之日起60日内完成补选；若补选进展不及预期，可能持续带来治理合规压力。</w:t>
      </w:r>
    </w:p>
    <w:p>
      <w:pPr>
        <w:pStyle w:val="ListParagraph"/>
        <w:numPr>
          <w:ilvl w:val="0"/>
          <w:numId w:val="2"/>
        </w:numPr>
        <w:spacing w:after="80" w:line="280"/>
      </w:pPr>
      <w:r>
        <w:rPr>
          <w:sz w:val="22"/>
          <w:szCs w:val="22"/>
        </w:rPr>
        <w:t xml:space="preserve">H股公众持股合规风险：截至2026年9月3日，公司H股公众持股约占H股类别已发行股份总数3.67%，低于香港联交所上市规则要求的最低比例；公司尚未确定主要解决方案，后续可能涉及股权结构调整及市场交易安排的不确定性。</w:t>
      </w:r>
    </w:p>
    <w:p>
      <w:pPr>
        <w:pStyle w:val="ListParagraph"/>
        <w:numPr>
          <w:ilvl w:val="0"/>
          <w:numId w:val="2"/>
        </w:numPr>
        <w:spacing w:after="80" w:line="280"/>
      </w:pPr>
      <w:r>
        <w:rPr>
          <w:sz w:val="22"/>
          <w:szCs w:val="22"/>
        </w:rPr>
        <w:t xml:space="preserve">项目落地不及预期风险：铁矿石指定交割仓库及铁矿石指定保税交割仓库目前仍处于申请阶段，尚未获批或正式运营，项目收益、投产时间及对装卸、仓储和交割业务的贡献均存在不确定性。</w:t>
      </w:r>
    </w:p>
    <w:p>
      <w:pPr>
        <w:pStyle w:val="ListParagraph"/>
        <w:numPr>
          <w:ilvl w:val="0"/>
          <w:numId w:val="2"/>
        </w:numPr>
        <w:spacing w:after="80" w:line="280"/>
      </w:pPr>
      <w:r>
        <w:rPr>
          <w:sz w:val="22"/>
          <w:szCs w:val="22"/>
        </w:rPr>
        <w:t xml:space="preserve">流动性与技术面波动风险：公司股价近期处于1.43—1.50元附近箱体震荡，换手率较低、股东集中度较高，日常成交深度有限；若跌破1.43—1.45元并伴随放量，可能进一步测试1.36—1.40元区间；若突破1.50—1.52元但缺乏持续成交配合，也存在假突破风险。</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辽港股份的中长期增长逻辑主要取决于东北腹地货运需求恢复、油品仓储和集装箱业务修复、专业化货种结构优化、双港协同及海铁联运和港口增值服务增长。铁矿石指定交割仓库项目目前仍处于申请阶段，若后续获批并运营，可能带来仓储、交割服务及现货业务增量，但项目收益、投产时间和业绩贡献尚存在不确定性。</w:t>
      </w:r>
    </w:p>
    <w:p>
      <w:pPr>
        <w:spacing w:after="160" w:line="300"/>
      </w:pPr>
      <w:r>
        <w:rPr>
          <w:sz w:val="22"/>
          <w:szCs w:val="22"/>
        </w:rPr>
        <w:t xml:space="preserve">短期业绩仍处于主营承压与结构分化状态，2026年上半年收入、归母净利润和扣非净利润均同比下降，且扣非口径降幅更大。机构预测2026—2028年归母净利润分别为14.06亿元、14.93亿元和15.23亿元，但目前仅有较少机构覆盖，预测可靠性和一致预期基础有限；当前估值表现为PB低于1倍而PE并不特别低，更多反映重资产属性、稳定现金流和潜在整合预期，而非高成长确定性。</w:t>
      </w:r>
    </w:p>
    <w:p>
      <w:pPr>
        <w:spacing w:after="160" w:line="300"/>
      </w:pPr>
      <w:r>
        <w:rPr>
          <w:sz w:val="22"/>
          <w:szCs w:val="22"/>
        </w:rPr>
        <w:t xml:space="preserve">后续观察重点包括油品、散粮和客滚业务量能否企稳，集装箱增长能否延续，主营毛利率及经营现金流是否改善，以及减值转回、投资收益等非主营因素对利润的影响是否减弱。技术面上，股价尚未形成明确趋势，若要确认短线方向，仍需结合1.50—1.52元区域的成交放量、MACD和RSI等指标变化综合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B80
信息披露
Disclosure
2026年3月27日星期五
zqsb@stcn.com (0 — https://epaper.stcn.com/att/202603/27/ZQ27B080-BB_eBook.pdf?utm_source=openai</w:t>
      </w:r>
    </w:p>
    <w:p>
      <w:pPr>
        <w:spacing w:after="200"/>
      </w:pPr>
      <w:r>
        <w:rPr>
          <w:i/>
          <w:iCs/>
          <w:color w:val="595959"/>
          <w:sz w:val="18"/>
          <w:szCs w:val="18"/>
        </w:rPr>
        <w:t xml:space="preserve">辽港股份(601880)_公司公告_辽港股份：2026年半年度报告全文新浪财经_新浪网 — https://money.finance.sina.com.cn/corp/view/vCB_AllBulletinDetail.php?id=12574544&amp;stockid=601880&amp;utm_source=openai</w:t>
      </w:r>
    </w:p>
    <w:p>
      <w:pPr>
        <w:spacing w:after="200"/>
      </w:pPr>
      <w:r>
        <w:rPr>
          <w:i/>
          <w:iCs/>
          <w:color w:val="595959"/>
          <w:sz w:val="18"/>
          <w:szCs w:val="18"/>
        </w:rPr>
        <w:t xml:space="preserve">辽港股份(601880)_公司公告_辽港股份：2025年年度报告全文新浪财经_新浪网 — https://money.finance.sina.com.cn/corp/view/vCB_AllBulletinDetail.php?id=12022291&amp;stockid=601880&amp;utm_source=openai</w:t>
      </w:r>
    </w:p>
    <w:p>
      <w:pPr>
        <w:spacing w:after="200"/>
      </w:pPr>
      <w:r>
        <w:rPr>
          <w:i/>
          <w:iCs/>
          <w:color w:val="595959"/>
          <w:sz w:val="18"/>
          <w:szCs w:val="18"/>
        </w:rPr>
        <w:t xml:space="preserve">辽港股份(601880) 盈利预测_F10_同花顺金融服务网 — https://basic.10jqka.com.cn/601880/worth.html?utm_source=openai</w:t>
      </w:r>
    </w:p>
    <w:p>
      <w:pPr>
        <w:spacing w:after="200"/>
      </w:pPr>
      <w:r>
        <w:rPr>
          <w:i/>
          <w:iCs/>
          <w:color w:val="595959"/>
          <w:sz w:val="18"/>
          <w:szCs w:val="18"/>
        </w:rPr>
        <w:t xml:space="preserve">辽港股份(601880)：集装箱业务表现稳健 Q2业绩环比向好__新浪财经_新浪网 — https://stock.finance.sina.com.cn/stock/go.php/vReport_Show/kind/search/rptid/842168040243/index.phtml?utm_source=openai</w:t>
      </w:r>
    </w:p>
    <w:p>
      <w:pPr>
        <w:spacing w:after="200"/>
      </w:pPr>
      <w:r>
        <w:rPr>
          <w:i/>
          <w:iCs/>
          <w:color w:val="595959"/>
          <w:sz w:val="18"/>
          <w:szCs w:val="18"/>
        </w:rPr>
        <w:t xml:space="preserve">辽港股份(601880)股票信息 - 数据平台 — https://data.agoer.com/cms/Index/detail?id=601880&amp;utm_source=openai</w:t>
      </w:r>
    </w:p>
    <w:p>
      <w:pPr>
        <w:spacing w:after="200"/>
      </w:pPr>
      <w:r>
        <w:rPr>
          <w:i/>
          <w:iCs/>
          <w:color w:val="595959"/>
          <w:sz w:val="18"/>
          <w:szCs w:val="18"/>
        </w:rPr>
        <w:t xml:space="preserve">2018 年年度报告
公司代码：601880
公司简称：大连港
大连港股份有限公司
2018 年年度 — https://www1.hkexnews.hk/listedco/listconews/sehk/2019/0326/ltn20190326796_c.pdf?utm_source=openai</w:t>
      </w:r>
    </w:p>
    <w:p>
      <w:pPr>
        <w:spacing w:after="200"/>
      </w:pPr>
      <w:r>
        <w:rPr>
          <w:i/>
          <w:iCs/>
          <w:color w:val="595959"/>
          <w:sz w:val="18"/>
          <w:szCs w:val="18"/>
        </w:rPr>
        <w:t xml:space="preserve">辽港股份(601880)_公司公告_辽港股份：关于董事离任的公告新浪财经_新浪网 — https://money.finance.sina.com.cn/corp/view/vCB_AllBulletinDetail.php?id=12596507&amp;stockid=601880&amp;utm_source=openai</w:t>
      </w:r>
    </w:p>
    <w:p>
      <w:pPr>
        <w:spacing w:after="200"/>
      </w:pPr>
      <w:r>
        <w:rPr>
          <w:i/>
          <w:iCs/>
          <w:color w:val="595959"/>
          <w:sz w:val="18"/>
          <w:szCs w:val="18"/>
        </w:rPr>
        <w:t xml:space="preserve">辽港股份：董事焦广军离任 | 每经网 — https://www.nbd.com.cn/articles/2026-09-11/4579160.html?utm_source=openai</w:t>
      </w:r>
    </w:p>
    <w:p>
      <w:pPr>
        <w:spacing w:after="200"/>
      </w:pPr>
      <w:r>
        <w:rPr>
          <w:i/>
          <w:iCs/>
          <w:color w:val="595959"/>
          <w:sz w:val="18"/>
          <w:szCs w:val="18"/>
        </w:rPr>
        <w:t xml:space="preserve">辽港股份(601880)_公司公告_辽港股份：董事会决议公告新浪财经_新浪网 — https://vip.stock.finance.sina.com.cn/corp/view/vCB_AllBulletinDetail.php?id=12593954&amp;stockid=601880&amp;utm_source=openai</w:t>
      </w:r>
    </w:p>
    <w:p>
      <w:pPr>
        <w:spacing w:after="200"/>
      </w:pPr>
      <w:r>
        <w:rPr>
          <w:i/>
          <w:iCs/>
          <w:color w:val="595959"/>
          <w:sz w:val="18"/>
          <w:szCs w:val="18"/>
        </w:rPr>
        <w:t xml:space="preserve">辽港股份：董事会决议公告 _ 东方财富网 — https://finance.eastmoney.com/a/202608303859480024.html?utm_source=openai</w:t>
      </w:r>
    </w:p>
    <w:p>
      <w:pPr>
        <w:spacing w:after="200"/>
      </w:pPr>
      <w:r>
        <w:rPr>
          <w:i/>
          <w:iCs/>
          <w:color w:val="595959"/>
          <w:sz w:val="18"/>
          <w:szCs w:val="18"/>
        </w:rPr>
        <w:t xml:space="preserve">辽港股份(601880)_公司公告_辽港股份：关于召开2026年半年度业绩说明会的公告新浪财经_新浪网 — https://money.finance.sina.com.cn/corp/view/vCB_AllBulletinDetail.php?id=12596506&amp;stockid=601880&amp;utm_source=openai</w:t>
      </w:r>
    </w:p>
    <w:p>
      <w:pPr>
        <w:spacing w:after="200"/>
      </w:pPr>
      <w:r>
        <w:rPr>
          <w:i/>
          <w:iCs/>
          <w:color w:val="595959"/>
          <w:sz w:val="18"/>
          <w:szCs w:val="18"/>
        </w:rPr>
        <w:t xml:space="preserve">辽港股份(601880)公司公告_新浪财经_新浪网 — https://vip.stock.finance.sina.com.cn/corp/go.php/vCB_AllBulletin/stockid/601880.phtml?ftype=0&amp;utm_source=openai</w:t>
      </w:r>
    </w:p>
    <w:p>
      <w:pPr>
        <w:spacing w:after="200"/>
      </w:pPr>
      <w:r>
        <w:rPr>
          <w:i/>
          <w:iCs/>
          <w:color w:val="595959"/>
          <w:sz w:val="18"/>
          <w:szCs w:val="18"/>
        </w:rPr>
        <w:t xml:space="preserve">股市必读：辽港股份新发布《遼寧港口股份有限公司證券變動月報表》_每日必读_数据解析_股票_证券之星 — https://4g.stockstar.com/detail/RB2026090400001753?utm_source=openai</w:t>
      </w:r>
    </w:p>
    <w:p>
      <w:pPr>
        <w:spacing w:after="200"/>
      </w:pPr>
      <w:r>
        <w:rPr>
          <w:i/>
          <w:iCs/>
          <w:color w:val="595959"/>
          <w:sz w:val="18"/>
          <w:szCs w:val="18"/>
        </w:rPr>
        <w:t xml:space="preserve">辽港股份： H股公众持股合规事项事关合规运行，公司高度重视，已主动对接相关各方，对各类可行性方案开展沟通、研判与专项论证 — https://yuanchuang.10jqka.com.cn/20260902/c679527927.shtml?utm_source=openai</w:t>
      </w:r>
    </w:p>
    <w:p>
      <w:pPr>
        <w:spacing w:after="200"/>
      </w:pPr>
      <w:r>
        <w:rPr>
          <w:i/>
          <w:iCs/>
          <w:color w:val="595959"/>
          <w:sz w:val="18"/>
          <w:szCs w:val="18"/>
        </w:rPr>
        <w:t xml:space="preserve">辽港股份（02880.HK）H股公众持股量不足 正推进合规解决方案 - 经济观察网 － 专业财经新闻网站 — https://www.eeo.com.cn/2026/0907/1026720.shtml?utm_source=openai</w:t>
      </w:r>
    </w:p>
    <w:p>
      <w:pPr>
        <w:spacing w:after="200"/>
      </w:pPr>
      <w:r>
        <w:rPr>
          <w:i/>
          <w:iCs/>
          <w:color w:val="595959"/>
          <w:sz w:val="18"/>
          <w:szCs w:val="18"/>
        </w:rPr>
        <w:t xml:space="preserve">辽港股份：先后实施多轮股份回购注销、现金分红、控股股东增持等多种方式维护公司价值与股东权益 — https://yuanchuang.10jqka.com.cn/20260902/c679526923.shtml?utm_source=openai</w:t>
      </w:r>
    </w:p>
    <w:p>
      <w:pPr>
        <w:spacing w:after="200"/>
      </w:pPr>
      <w:r>
        <w:rPr>
          <w:i/>
          <w:iCs/>
          <w:color w:val="595959"/>
          <w:sz w:val="18"/>
          <w:szCs w:val="18"/>
        </w:rPr>
        <w:t xml:space="preserve">证券代码：601880　　证券简称：辽港股份　　公告编号：临 2025-045 — https://static.cninfo.com.cn/finalpage/2025-09-02/1224632925.PDF?utm_source=openai</w:t>
      </w:r>
    </w:p>
    <w:p>
      <w:pPr>
        <w:spacing w:after="200"/>
      </w:pPr>
      <w:r>
        <w:rPr>
          <w:i/>
          <w:iCs/>
          <w:color w:val="595959"/>
          <w:sz w:val="18"/>
          <w:szCs w:val="18"/>
        </w:rPr>
        <w:t xml:space="preserve">辽港股份：公司申请设立的保税交割仓库项目，收益主要包含三部分 — https://yuanchuang.10jqka.com.cn/20260908/c679700776.shtml?utm_source=openai</w:t>
      </w:r>
    </w:p>
    <w:p>
      <w:pPr>
        <w:spacing w:after="200"/>
      </w:pPr>
      <w:r>
        <w:rPr>
          <w:i/>
          <w:iCs/>
          <w:color w:val="595959"/>
          <w:sz w:val="18"/>
          <w:szCs w:val="18"/>
        </w:rPr>
        <w:t xml:space="preserve">证券代码:601880 — https://dataclouds.cninfo.com.cn/shgonggao/hsomarket/2026/20260525/06af332b81b94731b663d803cd5deda1.PDF?utm_source=openai</w:t>
      </w:r>
    </w:p>
    <w:p>
      <w:pPr>
        <w:spacing w:after="200"/>
      </w:pPr>
      <w:r>
        <w:rPr>
          <w:i/>
          <w:iCs/>
          <w:color w:val="595959"/>
          <w:sz w:val="18"/>
          <w:szCs w:val="18"/>
        </w:rPr>
        <w:t xml:space="preserve">辽港股份(601880)_股票行情，行情首页_中财网 — https://quote.cfi.cn/quote.aspx?actstockid=11389&amp;searchcode=601880</w:t>
      </w:r>
    </w:p>
    <w:p>
      <w:pPr>
        <w:spacing w:after="200"/>
      </w:pPr>
      <w:r>
        <w:rPr>
          <w:i/>
          <w:iCs/>
          <w:color w:val="595959"/>
          <w:sz w:val="18"/>
          <w:szCs w:val="18"/>
        </w:rPr>
        <w:t xml:space="preserve">辽港股份 sh601880 的股票股价,行情,直播,新闻,财报,数据 - 爱股票 — https://stock.aigupiao.com/code/sh601880</w:t>
      </w:r>
    </w:p>
    <w:p>
      <w:pPr>
        <w:spacing w:after="200"/>
      </w:pPr>
      <w:r>
        <w:rPr>
          <w:i/>
          <w:iCs/>
          <w:color w:val="595959"/>
          <w:sz w:val="18"/>
          <w:szCs w:val="18"/>
        </w:rPr>
        <w:t xml:space="preserve">辽港股份(601880)市盈率|估值|基本面 - 理杏仁 — https://www.lixinger.com/equity/company/detail/sh/601880/601880/fundamental/valuation/pe-ttm?utm_source=openai</w:t>
      </w:r>
    </w:p>
    <w:p>
      <w:pPr>
        <w:spacing w:after="200"/>
      </w:pPr>
      <w:r>
        <w:rPr>
          <w:i/>
          <w:iCs/>
          <w:color w:val="595959"/>
          <w:sz w:val="18"/>
          <w:szCs w:val="18"/>
        </w:rPr>
        <w:t xml:space="preserve">Historical 601880.SS stock prices (quote) - Liaoning Port Co., Ltd. — https://stockinvest.us/stock-price/601880.SS?utm_source=openai</w:t>
      </w:r>
    </w:p>
    <w:p>
      <w:pPr>
        <w:spacing w:after="200"/>
      </w:pPr>
      <w:r>
        <w:rPr>
          <w:i/>
          <w:iCs/>
          <w:color w:val="595959"/>
          <w:sz w:val="18"/>
          <w:szCs w:val="18"/>
        </w:rPr>
        <w:t xml:space="preserve">辽港股份(601880)股票历史数据:历史行情,价格,走势图表_英为财情Investing.com — https://cn.investing.com/equities/dalian-port-historical-data?utm_source=openai</w:t>
      </w:r>
    </w:p>
    <w:p>
      <w:pPr>
        <w:spacing w:after="200"/>
      </w:pPr>
      <w:r>
        <w:rPr>
          <w:i/>
          <w:iCs/>
          <w:color w:val="595959"/>
          <w:sz w:val="18"/>
          <w:szCs w:val="18"/>
        </w:rPr>
        <w:t xml:space="preserve">辽港股份（601880）走势解读｜未命中形态 | Dingcrab 看盘搭子 — https://huahuastore.com/asset/cn_equity_sh_601880?utm_source=openai</w:t>
      </w:r>
    </w:p>
    <w:p>
      <w:pPr>
        <w:spacing w:after="200"/>
      </w:pPr>
      <w:r>
        <w:rPr>
          <w:i/>
          <w:iCs/>
          <w:color w:val="595959"/>
          <w:sz w:val="18"/>
          <w:szCs w:val="18"/>
        </w:rPr>
        <w:t xml:space="preserve">辽港股份(601880)股票行情走势技术分析_未来预测_买卖操作建议_英为财情Investing.com — https://cn.investing.com/equities/dalian-port-technical?utm_source=openai</w:t>
      </w:r>
    </w:p>
    <w:p>
      <w:pPr>
        <w:spacing w:after="200"/>
      </w:pPr>
      <w:r>
        <w:rPr>
          <w:i/>
          <w:iCs/>
          <w:color w:val="595959"/>
          <w:sz w:val="18"/>
          <w:szCs w:val="18"/>
        </w:rPr>
        <w:t xml:space="preserve">辽港股份（601880）9月10日主力资金净卖出148.76万元_搜狐网 — https://m.sohu.com/a/1074574027_115377?utm_source=openai</w:t>
      </w:r>
    </w:p>
    <w:p>
      <w:pPr>
        <w:spacing w:after="200"/>
      </w:pPr>
      <w:r>
        <w:rPr>
          <w:i/>
          <w:iCs/>
          <w:color w:val="595959"/>
          <w:sz w:val="18"/>
          <w:szCs w:val="18"/>
        </w:rPr>
        <w:t xml:space="preserve">辽港股份 (601880) - 历史交易数据 | 打板客网 — https://dabanke.com/hangqing-601880.html?utm_source=openai</w:t>
      </w:r>
    </w:p>
    <w:p>
      <w:pPr>
        <w:spacing w:after="200"/>
      </w:pPr>
      <w:r>
        <w:rPr>
          <w:i/>
          <w:iCs/>
          <w:color w:val="595959"/>
          <w:sz w:val="18"/>
          <w:szCs w:val="18"/>
        </w:rPr>
        <w:t xml:space="preserve">本报告由AI基于公开渠道信息自动检索、整理并生成，信息截至 截至2026年9月11日收盘；MACD、RSI的可交叉核验完整数据分别截至2026年9月2日，相关指标存在时点滞后和不确定性。，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2026-09-13T11:44:42.448Z</dcterms:created>
  <dcterms:modified xsi:type="dcterms:W3CDTF">2026-09-13T11:44:42.448Z</dcterms:modified>
</cp:coreProperties>
</file>

<file path=docProps/custom.xml><?xml version="1.0" encoding="utf-8"?>
<Properties xmlns="http://schemas.openxmlformats.org/officeDocument/2006/custom-properties" xmlns:vt="http://schemas.openxmlformats.org/officeDocument/2006/docPropsVTypes"/>
</file>