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江苏亚星锚链股份有限公司（亚星锚链） (601890)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行业：特种钢材加工与海洋装备关键部件</w:t>
      </w:r>
    </w:p>
    <w:p>
      <w:pPr>
        <w:jc w:val="center"/>
      </w:pPr>
      <w:r>
        <w:rPr>
          <w:color w:val="595959"/>
          <w:sz w:val="22"/>
          <w:szCs w:val="22"/>
        </w:rPr>
        <w:t xml:space="preserve">报告日期：2026年9月13日</w:t>
      </w:r>
    </w:p>
    <w:p>
      <w:pPr>
        <w:jc w:val="center"/>
      </w:pPr>
      <w:r>
        <w:rPr>
          <w:color w:val="595959"/>
          <w:sz w:val="20"/>
          <w:szCs w:val="20"/>
        </w:rPr>
        <w:t xml:space="preserve">价格及行情数据截至2026年9月11日收盘；部分技术指标平台数据截至2026年9月10日或存在刷新滞后，股东数据截至2026年6月30日或2026年3月31日，具体已在相关项目中标注。</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亚星锚链2026年上半年实现营业收入11.13亿元，同比增长12.30%；归母净利润1.53亿元，同比增长33.37%，扣非归母净利润同比增长17.60%。公司同时承接订单约15.23万吨，其中海洋石油平台系泊链订单约3.77万吨，显示船用锚链与海洋工程系泊链主业仍具增长动能。但同期经营活动现金流净额为-2.90亿元，较上年同期明显转弱，增长伴随应收账款、存货及备货等营运资金占用。</w:t>
      </w:r>
    </w:p>
    <w:p>
      <w:pPr>
        <w:spacing w:after="160" w:line="300"/>
      </w:pPr>
      <w:r>
        <w:rPr>
          <w:sz w:val="22"/>
          <w:szCs w:val="22"/>
        </w:rPr>
        <w:t xml:space="preserve">公司业务以船用锚链为规模基础，2024年船用锚链收入占主营业务收入约72%，海洋工程系泊链约占27%；系泊链毛利率明显高于船用锚链，2024年分别为39.36%和27.53%，2025年系泊链收入同比增长17.07%、毛利率为41.12%。公司具备较大生产规模、国际船级社认证、大规格链条制造能力，并已布局R5、R6等高强度系泊链产品，产品结构升级是中长期盈利弹性的主要来源。</w:t>
      </w:r>
    </w:p>
    <w:p>
      <w:pPr>
        <w:spacing w:after="160" w:line="300"/>
      </w:pPr>
      <w:r>
        <w:rPr>
          <w:sz w:val="22"/>
          <w:szCs w:val="22"/>
        </w:rPr>
        <w:t xml:space="preserve">公司拟将深远海大型浮体关键系泊装备和集成系统研发及产业化项目总投资增加至6.5亿元，相关产品面向海上油气及海上新能源浮体等应用，但目前尚无明确量产时间表和收益承诺。2026年上半年综合毛利率约27.10%，较上年同期下降0.61个百分点，表明收入增长尚未完全转化为毛利率改善；归母净利润增速高于扣非净利润增速，投资收益、公允价值变动等非经常性损益对利润增长有一定影响。</w:t>
      </w:r>
    </w:p>
    <w:p>
      <w:pPr>
        <w:spacing w:after="160" w:line="300"/>
      </w:pPr>
      <w:r>
        <w:rPr>
          <w:sz w:val="22"/>
          <w:szCs w:val="22"/>
        </w:rPr>
        <w:t xml:space="preserve">截至2026年9月11日，公司股价收于10.25元，近期自8月19日上涨约22.5%，收盘价高于MA5、MA10和MA20，MACD处于正值区域，但RSI6约93、股价略高于布林上轨，短线技术面偏强且明显偏热。按约10.25元股价及不同口径数据计算，动态市盈率约28至33倍，估值已反映一定业绩增长和深远海风电预期；机构预测样本仅有平安证券和浙商证券两家，2026—2028年平均归母净利润预测约为3.66亿元、4.22亿元和4.96亿元。</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601890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2010年12月28日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总部所在地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江苏靖江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成立年份</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1981年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主营产品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船用锚链、海洋工程系泊链、高强度矿用链，以及相关锻件、铸造件</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2024年整体产能</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35万吨，包含船用锚链16万吨、海洋石油平台系泊链11万吨、高强度矿用链3万吨、锚及船用铸钢件5万吨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海外销售情况</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公司官网披露超过60%的产品销往海外；该数据为公司官网口径，未提供对应年度</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船用锚链及附件：用于船舶锚泊、定位和安全作业，客户主要包括船厂、船舶设备集成商和船东相关供应链企业。2024年度销售133,188吨，实现收入14.24亿元，主营业务毛利率27.53%，收入约占主营业务收入72%。</w:t>
      </w:r>
    </w:p>
    <w:p>
      <w:pPr>
        <w:pStyle w:val="ListParagraph"/>
        <w:numPr>
          <w:ilvl w:val="0"/>
          <w:numId w:val="2"/>
        </w:numPr>
        <w:spacing w:after="80" w:line="280"/>
      </w:pPr>
      <w:r>
        <w:rPr>
          <w:sz w:val="22"/>
          <w:szCs w:val="22"/>
        </w:rPr>
        <w:t xml:space="preserve">海洋工程系泊链及附件：用于海洋石油平台、浮式生产储卸油装置、海上风电浮式基础和海洋牧场等设施。2024年度销售28,840吨，实现收入5.37亿元，主营业务毛利率39.36%，收入占主营业务收入约27%。</w:t>
      </w:r>
    </w:p>
    <w:p>
      <w:pPr>
        <w:pStyle w:val="ListParagraph"/>
        <w:numPr>
          <w:ilvl w:val="0"/>
          <w:numId w:val="2"/>
        </w:numPr>
        <w:spacing w:after="80" w:line="280"/>
      </w:pPr>
      <w:r>
        <w:rPr>
          <w:sz w:val="22"/>
          <w:szCs w:val="22"/>
        </w:rPr>
        <w:t xml:space="preserve">高强度矿用链及配套产品：主要用于国内煤矿企业的煤炭输送、刮板输送机等矿山机械系统，目前不是公司收入主体。</w:t>
      </w:r>
    </w:p>
    <w:p>
      <w:pPr>
        <w:pStyle w:val="ListParagraph"/>
        <w:numPr>
          <w:ilvl w:val="0"/>
          <w:numId w:val="2"/>
        </w:numPr>
        <w:spacing w:after="80" w:line="280"/>
      </w:pPr>
      <w:r>
        <w:rPr>
          <w:sz w:val="22"/>
          <w:szCs w:val="22"/>
        </w:rPr>
        <w:t xml:space="preserve">配套锻铸件：包括锻打附件、锚及船用铸钢件等，公司官网披露铸造件单件重量最高可达120吨。</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亚星锚链位于船舶及海洋工程产业链中游，属于特种钢材加工和海洋装备关键部件制造商。公司以船用锚链业务提供规模基础，以海洋工程系泊链、高强度链条和大型连接件推动产品结构升级。</w:t>
      </w:r>
    </w:p>
    <w:p>
      <w:pPr>
        <w:pStyle w:val="ListParagraph"/>
        <w:numPr>
          <w:ilvl w:val="0"/>
          <w:numId w:val="2"/>
        </w:numPr>
        <w:spacing w:after="80" w:line="280"/>
      </w:pPr>
      <w:r>
        <w:rPr>
          <w:sz w:val="22"/>
          <w:szCs w:val="22"/>
        </w:rPr>
        <w:t xml:space="preserve">核心投入为满足强度、韧性、疲劳寿命和船级社认证要求的特殊钢材；公司根据客户订单确定链条规格和等级，再向钢材供应商采购，并通常与主要供应商签订年度框架协议、根据生产任务提前签订供货合同。</w:t>
      </w:r>
    </w:p>
    <w:p>
      <w:pPr>
        <w:pStyle w:val="ListParagraph"/>
        <w:numPr>
          <w:ilvl w:val="0"/>
          <w:numId w:val="2"/>
        </w:numPr>
        <w:spacing w:after="80" w:line="280"/>
      </w:pPr>
      <w:r>
        <w:rPr>
          <w:sz w:val="22"/>
          <w:szCs w:val="22"/>
        </w:rPr>
        <w:t xml:space="preserve">2024年成本结构显示，原材料占船舶行业相关成本约74.33%、占海工行业相关成本约77.22%，公司对钢材价格高度敏感，钢材价格上涨、能源费用和海运费用上升均可能挤压毛利率。</w:t>
      </w:r>
    </w:p>
    <w:p>
      <w:pPr>
        <w:pStyle w:val="ListParagraph"/>
        <w:numPr>
          <w:ilvl w:val="0"/>
          <w:numId w:val="2"/>
        </w:numPr>
        <w:spacing w:after="80" w:line="280"/>
      </w:pPr>
      <w:r>
        <w:rPr>
          <w:sz w:val="22"/>
          <w:szCs w:val="22"/>
        </w:rPr>
        <w:t xml:space="preserve">公司具有规模采购、订单匹配和长期供应商合作优势，但整体仍更接近特殊钢材价格接受者，而非能够主导上游价格的资源型企业。</w:t>
      </w:r>
    </w:p>
    <w:p>
      <w:pPr>
        <w:pStyle w:val="ListParagraph"/>
        <w:numPr>
          <w:ilvl w:val="0"/>
          <w:numId w:val="2"/>
        </w:numPr>
        <w:spacing w:after="80" w:line="280"/>
      </w:pPr>
      <w:r>
        <w:rPr>
          <w:sz w:val="22"/>
          <w:szCs w:val="22"/>
        </w:rPr>
        <w:t xml:space="preserve">2024年公司前五名供应商采购额为5.65亿元，占年度采购总额41.41%；前五名供应商不存在关联方采购。该集中度数据为2024年度口径，不能直接外推至后续年度。</w:t>
      </w:r>
    </w:p>
    <w:p>
      <w:pPr>
        <w:pStyle w:val="ListParagraph"/>
        <w:numPr>
          <w:ilvl w:val="0"/>
          <w:numId w:val="2"/>
        </w:numPr>
        <w:spacing w:after="80" w:line="280"/>
      </w:pPr>
      <w:r>
        <w:rPr>
          <w:sz w:val="22"/>
          <w:szCs w:val="22"/>
        </w:rPr>
        <w:t xml:space="preserve">2024年期末预付款主要对应石家庄钢铁特殊钢分公司、中信泰富钢铁贸易、南京钢铁、江苏沙钢集团淮钢特钢、常州东方特钢等钢材相关供应商，前五名预付款合计占预付款余额79.50%，显示钢材供应体系具有一定专业性和集中性。</w:t>
      </w:r>
    </w:p>
    <w:p>
      <w:pPr>
        <w:pStyle w:val="ListParagraph"/>
        <w:numPr>
          <w:ilvl w:val="0"/>
          <w:numId w:val="2"/>
        </w:numPr>
        <w:spacing w:after="80" w:line="280"/>
      </w:pPr>
      <w:r>
        <w:rPr>
          <w:sz w:val="22"/>
          <w:szCs w:val="22"/>
        </w:rPr>
        <w:t xml:space="preserve">下游客户包括船舶制造企业及船厂供应链、海洋石油平台和海工装备项目、海上风电项目、国内煤矿及矿山机械企业，以及海外船东、海洋工程承包商和能源公司。</w:t>
      </w:r>
    </w:p>
    <w:p>
      <w:pPr>
        <w:pStyle w:val="ListParagraph"/>
        <w:numPr>
          <w:ilvl w:val="0"/>
          <w:numId w:val="2"/>
        </w:numPr>
        <w:spacing w:after="80" w:line="280"/>
      </w:pPr>
      <w:r>
        <w:rPr>
          <w:sz w:val="22"/>
          <w:szCs w:val="22"/>
        </w:rPr>
        <w:t xml:space="preserve">船用锚链及系泊链属于船舶和海洋工程安全关键部件，通常需要船级社认证和项目技术规范，高端产品存在一定客户黏性和认证壁垒。</w:t>
      </w:r>
    </w:p>
    <w:p>
      <w:pPr>
        <w:pStyle w:val="ListParagraph"/>
        <w:numPr>
          <w:ilvl w:val="0"/>
          <w:numId w:val="2"/>
        </w:numPr>
        <w:spacing w:after="80" w:line="280"/>
      </w:pPr>
      <w:r>
        <w:rPr>
          <w:sz w:val="22"/>
          <w:szCs w:val="22"/>
        </w:rPr>
        <w:t xml:space="preserve">船厂采购具有项目制、招标制和成本控制特征；海洋油气、海上风电项目受油价、船价、海工投资和项目审批影响，订单具有周期性，公司无法完全将钢材价格和海运费用变化转嫁给客户。</w:t>
      </w:r>
    </w:p>
    <w:p>
      <w:pPr>
        <w:pStyle w:val="ListParagraph"/>
        <w:numPr>
          <w:ilvl w:val="0"/>
          <w:numId w:val="2"/>
        </w:numPr>
        <w:spacing w:after="80" w:line="280"/>
      </w:pPr>
      <w:r>
        <w:rPr>
          <w:sz w:val="22"/>
          <w:szCs w:val="22"/>
        </w:rPr>
        <w:t xml:space="preserve">2024年公司前五名客户销售额为5.78亿元，占年度销售总额29.04%，无关联方销售；公司未披露单一客户销售占比超过50%，也未认定存在对少数客户的严重依赖。</w:t>
      </w:r>
    </w:p>
    <w:p>
      <w:pPr>
        <w:pStyle w:val="ListParagraph"/>
        <w:numPr>
          <w:ilvl w:val="0"/>
          <w:numId w:val="2"/>
        </w:numPr>
        <w:spacing w:after="80" w:line="280"/>
      </w:pPr>
      <w:r>
        <w:rPr>
          <w:sz w:val="22"/>
          <w:szCs w:val="22"/>
        </w:rPr>
        <w:t xml:space="preserve">前五大客户占比数据仅覆盖2024年度，截至2024年12月31日，客户具体名称和长期稳定性仍需结合后续年报跟踪，不能直接外推至后续年度。</w:t>
      </w:r>
    </w:p>
    <w:p>
      <w:pPr>
        <w:pStyle w:val="ListParagraph"/>
        <w:numPr>
          <w:ilvl w:val="0"/>
          <w:numId w:val="2"/>
        </w:numPr>
        <w:spacing w:after="80" w:line="280"/>
      </w:pPr>
      <w:r>
        <w:rPr>
          <w:sz w:val="22"/>
          <w:szCs w:val="22"/>
        </w:rPr>
        <w:t xml:space="preserve">2024年期末预付款项为7,083.73万元，同比增长42.96%，主要与期末预付材料款增加有关，说明钢材采购会占用部分营运资金；合同负债为2.28亿元，较上年下降，主要与部分大宗产品集中发货有关，反映部分订单存在客户预付款或阶段性预收款安排。第三方财报分析指出，2024年应收账款增速高于营业收入增速，但该结论并非年报原文中的核心经营结论，未提供应收账款周转天数，具体应以最新年报应收账款余额、账龄及周转天数复核。</w:t>
      </w:r>
    </w:p>
    <w:p>
      <w:pPr>
        <w:pStyle w:val="ListParagraph"/>
        <w:numPr>
          <w:ilvl w:val="0"/>
          <w:numId w:val="2"/>
        </w:numPr>
        <w:spacing w:after="80" w:line="280"/>
      </w:pPr>
      <w:r>
        <w:rPr>
          <w:sz w:val="22"/>
          <w:szCs w:val="22"/>
        </w:rPr>
        <w:t xml:space="preserve">2024年度前五名供应商采购额占年度采购总额41.41%，前五名客户销售额占年度销售总额29.04%，两项数据均来自2024年年报口径且未能据此判断上下游议价强弱；供应商和客户集中度均不能直接外推至后续年度。</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约26.01%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归母净利率约9.83%—10.02%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船用链业务增长，但钢材价格波动对船用链和系泊链毛利率形成压制。</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约30.59%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归母净利率约12.14%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钢材价格相对稳定，部分系泊链订单在钢材价格较高时已确定销售价格，后续成本回落推动系泊链毛利率改善；船舶和海洋油气行业回暖带动收入增长。</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主营业务毛利率约30.77%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归母净利率约14.2%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主营业务毛利率继续小幅提升；船用锚链及附件毛利率升至27.53%，系泊链毛利率为39.36%。海外销售毛利率42.44%，高于国内销售毛利率21.30%，海外订单和产品结构对盈利能力影响较大。</w:t>
            </w:r>
          </w:p>
        </w:tc>
      </w:tr>
    </w:tbl>
    <w:p>
      <w:pPr>
        <w:spacing w:before="200"/>
      </w:pPr>
    </w:p>
    <w:p>
      <w:pPr>
        <w:spacing w:after="160" w:line="300"/>
      </w:pPr>
      <w:r>
        <w:rPr>
          <w:sz w:val="22"/>
          <w:szCs w:val="22"/>
        </w:rPr>
        <w:t xml:space="preserve">公司处于产业链微笑曲线中部偏上位置，属于中游特种钢材加工和海洋装备关键部件制造商，而非上游资源型或下游品牌型企业。船用锚链提供规模和现金流，未来利润弹性主要取决于海洋系泊链、高强度R5/R6链条、漂浮式海上风电及大型海工连接件等高附加值产品占比提升，同时受钢材价格、订单价格传导、规模制造和海外产品结构影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20.99亿元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同比增长5.56%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3.17亿元（归属于上市公司股东）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同比增长12.59%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同比增长12.30%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1.53亿元（归属于上市公司股东）</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同比增长33.37%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约5.67亿元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同比增长40.47%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约0.68亿元（归属于上市公司股东）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同比增长10.20%</w:t>
            </w:r>
          </w:p>
        </w:tc>
      </w:tr>
    </w:tbl>
    <w:p>
      <w:pPr>
        <w:spacing w:after="200"/>
      </w:pPr>
      <w:r>
        <w:rPr>
          <w:i/>
          <w:iCs/>
          <w:color w:val="595959"/>
          <w:sz w:val="18"/>
          <w:szCs w:val="18"/>
        </w:rPr>
        <w:t xml:space="preserve">截至2026年8月25日，公司已披露2026年半年度报告，该报告未经审计，是纪要所述截至日期可获得的最新一期正式财报。2025年年报为标准无保留意见审计报告。</w:t>
      </w:r>
    </w:p>
    <w:p>
      <w:pPr>
        <w:spacing w:after="160" w:line="300"/>
      </w:pPr>
      <w:r>
        <w:rPr>
          <w:sz w:val="22"/>
          <w:szCs w:val="22"/>
        </w:rPr>
        <w:t xml:space="preserve">2026年上半年扣除非经常性损益后的归母净利润为1.16亿元，同比增长17.60%；基本每股收益为0.1592元，同比增长33.33%；利润总额为1.87亿元，同比增长41.27%。综合毛利率约27.10%，较上年同期下降0.61个百分点。2026年上半年经营活动产生的现金流量净额为-2.90亿元，上年同期为0.51亿元，同比下降673.93%，主要与应收账款、存货及备货投入等营运资金占用有关。截至2026年6月30日，公司总资产为64.53亿元，较2025年末增长8.65%；归属于上市公司股东的净资产为39.04亿元，较2025年末增长2.50%。2025年系泊链收入约6.29亿元，同比增长17.07%，毛利率41.12%；船用锚链及附件收入约14.40亿元，同比增长1.14%，毛利率27.16%。归母净利润增速高于扣非净利润增速，投资收益、公允价值变动等非经常性损益对利润增长有一定影响。</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12日，同花顺F10显示近6个月内共有2家机构进行盈利预测，分别为平安证券和浙商证券。上述数据为两家机构预测的平均值，属于小样本机构预测，不代表广泛覆盖的多机构一致预期。机构预测区间存在差异：2028年两家机构营收预测相差4.65亿元，归母净利润预测相差0.63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平均约24.30亿元（平安证券23.60亿元；浙商证券25.00亿元）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平均约3.66亿元（平安证券3.60亿元；浙商证券3.72亿元）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较2025年实际归母净利润增长约15.30%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平均约0.39元（平安证券0.38元；浙商证券0.39元）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平均约26.59亿元（平安证券24.83亿元；浙商证券28.36亿元）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平均约4.22亿元（平安证券3.97亿元；浙商证券4.46亿元）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纪要未提供相对2026年的明确平均增速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平均约0.44元（平安证券0.41元；浙商证券0.47元）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平均约29.32亿元（平安证券27.00亿元；浙商证券31.65亿元）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平均约4.96亿元（平安证券4.64亿元；浙商证券5.27亿元）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纪要未提供相对2027年的明确平均增速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平均约0.52元（平安证券0.48元；浙商证券0.55元）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预测2026年归母净利润3.60亿元；未给出目标价。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预测2026—2028年归母净利润分别为3.72亿元、4.46亿元和5.27亿元；披露2026年4月30日收盘价对应2026—2028年市盈率约28倍、23倍和20倍；未明确披露目标价。</w:t>
            </w:r>
          </w:p>
        </w:tc>
      </w:tr>
    </w:tbl>
    <w:p>
      <w:pPr>
        <w:spacing w:before="200"/>
      </w:pPr>
    </w:p>
    <w:p>
      <w:pPr>
        <w:spacing w:after="160" w:line="300"/>
      </w:pPr>
      <w:r>
        <w:rPr>
          <w:sz w:val="22"/>
          <w:szCs w:val="22"/>
        </w:rPr>
        <w:t xml:space="preserve">截至2026年9月10日最近一个完整交易日，亚星锚链收盘价约10.38元，总股本约9.594亿股，总市值约99.59亿元，市净率约2.55倍。按2025年基本每股收益0.331元计算，静态市盈率约31.4倍；按机构平均EPS预测计算，2026—2028年动态市盈率分别约26.6倍、23.6倍和20.0倍。按2025年末每股净资产约3.97元计算，PB约2.62倍，综合行情平台数据，公司当前PB约2.5—2.6倍。当前估值已反映一定的业绩增长和深远海风电预期，但不属于低估值水平。估值支撑因素包括2026年上半年收入和归母净利润增长、系泊链较高的收入增速和毛利率、系泊链订单增长及2026—2028年机构盈利预测增长。主要制约因素包括机构覆盖仅2家、扣非净利润增速低于归母净利润增速、经营活动现金流净额为负、船用锚链业务毛利率承压，以及漂浮式海上风电项目落地节奏存在不确定性。较早的机构汇总曾给出约13.00元综合目标价，但其时效性较弱，不能作为当前市场一致目标价；最新两份研究摘要均未给出明确目标价。</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2026年半年度业绩增长，归母净利润同比增长33.37%</w:t>
      </w:r>
    </w:p>
    <w:p>
      <w:pPr>
        <w:spacing w:after="160" w:line="300"/>
      </w:pPr>
      <w:r>
        <w:rPr>
          <w:sz w:val="22"/>
          <w:szCs w:val="22"/>
        </w:rPr>
        <w:t xml:space="preserve">公司于2026年8月25日披露2026年半年度报告。2026年上半年实现营业收入约11.13亿元，同比增长12.30%；归属于上市公司股东的净利润约1.53亿元，同比增长33.37%；扣除非经常性损益后的净利润约1.16亿元，同比增长17.60%；基本每股收益0.1592元。上述半年度报告未经审计。公司经营活动现金流净额转为约-2.9亿元，需关注订单增长与营运资金占用情况。</w:t>
      </w:r>
    </w:p>
    <w:p>
      <w:pPr>
        <w:pStyle w:val="Heading2"/>
        <w:spacing w:after="120" w:before="240"/>
      </w:pPr>
      <w:r>
        <w:rPr>
          <w:b/>
          <w:bCs/>
          <w:color w:val="2E74B5"/>
          <w:sz w:val="24"/>
          <w:szCs w:val="24"/>
        </w:rPr>
        <w:t xml:space="preserve">4.2 2026年上半年承接订单约15.23万吨</w:t>
      </w:r>
    </w:p>
    <w:p>
      <w:pPr>
        <w:spacing w:after="160" w:line="300"/>
      </w:pPr>
      <w:r>
        <w:rPr>
          <w:sz w:val="22"/>
          <w:szCs w:val="22"/>
        </w:rPr>
        <w:t xml:space="preserve">公司披露的经营数据显示，2026年上半年承接订单约15.23万吨，其中海洋石油平台系泊链订单约3.77万吨。订单主要围绕船用锚链及海洋工程系泊链主业展开。</w:t>
      </w:r>
    </w:p>
    <w:p>
      <w:pPr>
        <w:pStyle w:val="Heading2"/>
        <w:spacing w:after="120" w:before="240"/>
      </w:pPr>
      <w:r>
        <w:rPr>
          <w:b/>
          <w:bCs/>
          <w:color w:val="2E74B5"/>
          <w:sz w:val="24"/>
          <w:szCs w:val="24"/>
        </w:rPr>
        <w:t xml:space="preserve">4.3 董事会审议通过2026年中期分红预案</w:t>
      </w:r>
    </w:p>
    <w:p>
      <w:pPr>
        <w:spacing w:after="160" w:line="300"/>
      </w:pPr>
      <w:r>
        <w:rPr>
          <w:sz w:val="22"/>
          <w:szCs w:val="22"/>
        </w:rPr>
        <w:t xml:space="preserve">公司董事会审议通过2026年中期利润分配方案，拟以实施权益分派股权登记日的总股本为基数，每10股派发现金红利0.50元（含税），预计派发现金红利约4,797万元。该方案为董事会审议通过的中期分红预案，后续仍需关注股东会审议、权益登记及实际派发安排。</w:t>
      </w:r>
    </w:p>
    <w:p>
      <w:pPr>
        <w:pStyle w:val="Heading2"/>
        <w:spacing w:after="120" w:before="240"/>
      </w:pPr>
      <w:r>
        <w:rPr>
          <w:b/>
          <w:bCs/>
          <w:color w:val="2E74B5"/>
          <w:sz w:val="24"/>
          <w:szCs w:val="24"/>
        </w:rPr>
        <w:t xml:space="preserve">4.4 2025年度现金分红已于2026年6月实施</w:t>
      </w:r>
    </w:p>
    <w:p>
      <w:pPr>
        <w:spacing w:after="160" w:line="300"/>
      </w:pPr>
      <w:r>
        <w:rPr>
          <w:sz w:val="22"/>
          <w:szCs w:val="22"/>
        </w:rPr>
        <w:t xml:space="preserve">公司2025年度权益分派方案已于2026年6月实施，每10股派发现金红利0.60元（含税）；股权登记日为2026年6月18日，除权除息日为2026年6月22日。</w:t>
      </w:r>
    </w:p>
    <w:p>
      <w:pPr>
        <w:pStyle w:val="Heading2"/>
        <w:spacing w:after="120" w:before="240"/>
      </w:pPr>
      <w:r>
        <w:rPr>
          <w:b/>
          <w:bCs/>
          <w:color w:val="2E74B5"/>
          <w:sz w:val="24"/>
          <w:szCs w:val="24"/>
        </w:rPr>
        <w:t xml:space="preserve">4.5 深远海大型浮体关键系泊装备项目追加投资至6.5亿元</w:t>
      </w:r>
    </w:p>
    <w:p>
      <w:pPr>
        <w:spacing w:after="160" w:line="300"/>
      </w:pPr>
      <w:r>
        <w:rPr>
          <w:sz w:val="22"/>
          <w:szCs w:val="22"/>
        </w:rPr>
        <w:t xml:space="preserve">公司于2026年4月28日披露拟向深远海大型浮体关键系泊装备和集成系统研发及产业化项目增加投资的公告。项目原计划投资不超过3亿元，公司拟追加投资3.5亿元，项目总投资金额增加至6.5亿元，资金来源为公司自有资金。该事项不构成重大资产重组，也不构成关联交易。项目产品主要为深远海海工装备关键系泊链，应用于高技术船舶、海上油气平台、钻井平台及海上新能源浮体。公司提示项目仍存在市场需求、投资进度、土地及建设成本、未来经营情况等不确定性，当前缺乏明确的量产时间表和收益承诺。</w:t>
      </w:r>
    </w:p>
    <w:p>
      <w:pPr>
        <w:pStyle w:val="Heading2"/>
        <w:spacing w:after="120" w:before="240"/>
      </w:pPr>
      <w:r>
        <w:rPr>
          <w:b/>
          <w:bCs/>
          <w:color w:val="2E74B5"/>
          <w:sz w:val="24"/>
          <w:szCs w:val="24"/>
        </w:rPr>
        <w:t xml:space="preserve">4.6 全资设立天津星扬绿航科技有限公司</w:t>
      </w:r>
    </w:p>
    <w:p>
      <w:pPr>
        <w:spacing w:after="160" w:line="300"/>
      </w:pPr>
      <w:r>
        <w:rPr>
          <w:sz w:val="22"/>
          <w:szCs w:val="22"/>
        </w:rPr>
        <w:t xml:space="preserve">公开工商信息及媒体报道显示，天津星扬绿航科技有限公司于2026年7月成立，由亚星锚链全资持股，经营范围包括海洋工程关键配套系统开发、海洋工程装备制造、海洋工程平台装备制造及海洋工程装备销售等。目前未检索到亚星锚链在上海证券交易所正式披露的独立重大投资公告，注册资本、实际投资金额、人员配置、项目订单及对上市公司财务影响等信息尚未充分披露。</w:t>
      </w:r>
    </w:p>
    <w:p>
      <w:pPr>
        <w:pStyle w:val="Heading2"/>
        <w:spacing w:after="120" w:before="240"/>
      </w:pPr>
      <w:r>
        <w:rPr>
          <w:b/>
          <w:bCs/>
          <w:color w:val="2E74B5"/>
          <w:sz w:val="24"/>
          <w:szCs w:val="24"/>
        </w:rPr>
        <w:t xml:space="preserve">4.7 董事会完成换届，陶兴任董事长</w:t>
      </w:r>
    </w:p>
    <w:p>
      <w:pPr>
        <w:spacing w:after="160" w:line="300"/>
      </w:pPr>
      <w:r>
        <w:rPr>
          <w:sz w:val="22"/>
          <w:szCs w:val="22"/>
        </w:rPr>
        <w:t xml:space="preserve">公司于2026年5月25日召开2025年年度股东会，完成第七届董事会换届选举；2026年5月29日，第七届董事会第一次临时会议选举陶兴为董事长、陶良凤为副董事长，并聘任新一届高级管理人员及证券事务代表。第七届董事会由9名董事组成，其中非独立董事6名、独立董事3名，任期3年。根据公告，本次属于正常届满换届，未发现控制权变更、实际控制人变更或管理层重大冲突事项。</w:t>
      </w:r>
    </w:p>
    <w:p>
      <w:pPr>
        <w:pStyle w:val="Heading2"/>
        <w:spacing w:after="120" w:before="240"/>
      </w:pPr>
      <w:r>
        <w:rPr>
          <w:b/>
          <w:bCs/>
          <w:color w:val="2E74B5"/>
          <w:sz w:val="24"/>
          <w:szCs w:val="24"/>
        </w:rPr>
        <w:t xml:space="preserve">4.8 股东户数下降，前十大流通股东出现变化</w:t>
      </w:r>
    </w:p>
    <w:p>
      <w:pPr>
        <w:spacing w:after="160" w:line="300"/>
      </w:pPr>
      <w:r>
        <w:rPr>
          <w:sz w:val="22"/>
          <w:szCs w:val="22"/>
        </w:rPr>
        <w:t xml:space="preserve">截至2026年6月30日，公司股东户数为108,560户，较2026年3月31日减少3,701户，下降约3.30%。2026年半年度报告披露的前十大流通股东较上一报告期出现变化：刘斌新进，瑞银集团退出；富国中证智选船舶产业ETF持股增加至约1,156.13万股，增持幅度约64.86%；北向资金持股有所减少。上述变化属于报告期末持仓变化，不等同于公司公告的股东减持或增持计划。</w:t>
      </w:r>
    </w:p>
    <w:p>
      <w:pPr>
        <w:pStyle w:val="Heading2"/>
        <w:spacing w:after="120" w:before="240"/>
      </w:pPr>
      <w:r>
        <w:rPr>
          <w:b/>
          <w:bCs/>
          <w:color w:val="2E74B5"/>
          <w:sz w:val="24"/>
          <w:szCs w:val="24"/>
        </w:rPr>
        <w:t xml:space="preserve">4.9 暂未发现新的回购、股权激励及再融资事项</w:t>
      </w:r>
    </w:p>
    <w:p>
      <w:pPr>
        <w:spacing w:after="160" w:line="300"/>
      </w:pPr>
      <w:r>
        <w:rPr>
          <w:sz w:val="22"/>
          <w:szCs w:val="22"/>
        </w:rPr>
        <w:t xml:space="preserve">截至2026年9月12日，未检索到公司在2026年9月发布新的股份回购方案、回购进展公告、股权激励方案或再融资公告。现有公开资料未披露新的回购金额、回购价格区间、回购期限或实际回购数量等数据；该结论基于公开公告检索，不能排除后续公告新增事项。</w:t>
      </w:r>
    </w:p>
    <w:p>
      <w:pPr>
        <w:pStyle w:val="Heading2"/>
        <w:spacing w:after="120" w:before="240"/>
      </w:pPr>
      <w:r>
        <w:rPr>
          <w:b/>
          <w:bCs/>
          <w:color w:val="2E74B5"/>
          <w:sz w:val="24"/>
          <w:szCs w:val="24"/>
        </w:rPr>
        <w:t xml:space="preserve">4.10 暂未发现重大并购、重组及重大监管措施</w:t>
      </w:r>
    </w:p>
    <w:p>
      <w:pPr>
        <w:spacing w:after="160" w:line="300"/>
      </w:pPr>
      <w:r>
        <w:rPr>
          <w:sz w:val="22"/>
          <w:szCs w:val="22"/>
        </w:rPr>
        <w:t xml:space="preserve">截至2026年9月12日，未检索到公司在2026年内披露已完成或正在推进的重大资产收购、上市公司重大资产重组或控股权收购事项。与扩张相关的事项主要为深远海大型浮体关键系泊装备项目追加投资及全资设立天津星扬绿航科技有限公司，两者更接近产业投资和业务延伸，不应直接表述为上市公司并购。截至该日期，亦未检索到上海证券交易所、证监会或公司公告针对公司采取立案调查、监管警示、纪律处分、重大问询或其他重大监管措施的公开信息。</w:t>
      </w:r>
    </w:p>
    <w:p>
      <w:pPr>
        <w:pStyle w:val="Heading2"/>
        <w:spacing w:after="120" w:before="240"/>
      </w:pPr>
      <w:r>
        <w:rPr>
          <w:b/>
          <w:bCs/>
          <w:color w:val="2E74B5"/>
          <w:sz w:val="24"/>
          <w:szCs w:val="24"/>
        </w:rPr>
        <w:t xml:space="preserve">4.11 公司将召开2026年半年度业绩说明会</w:t>
      </w:r>
    </w:p>
    <w:p>
      <w:pPr>
        <w:spacing w:after="160" w:line="300"/>
      </w:pPr>
      <w:r>
        <w:rPr>
          <w:sz w:val="22"/>
          <w:szCs w:val="22"/>
        </w:rPr>
        <w:t xml:space="preserve">公司于2026年8月26日披露，将于2026年9月3日召开2026年半年度业绩说明会，主要用于解读半年度经营情况及回答投资者问题。现有公开资料未显示该次业绩说明会形成新的重大资本运作或并购事项。</w:t>
      </w:r>
    </w:p>
    <w:p>
      <w:pPr>
        <w:pStyle w:val="Heading2"/>
        <w:spacing w:after="120" w:before="240"/>
      </w:pPr>
      <w:r>
        <w:rPr>
          <w:b/>
          <w:bCs/>
          <w:color w:val="2E74B5"/>
          <w:sz w:val="24"/>
          <w:szCs w:val="24"/>
        </w:rPr>
        <w:t xml:space="preserve">4.12 2026年2月曾出现股票交易异常波动</w:t>
      </w:r>
    </w:p>
    <w:p>
      <w:pPr>
        <w:spacing w:after="160" w:line="300"/>
      </w:pPr>
      <w:r>
        <w:rPr>
          <w:sz w:val="22"/>
          <w:szCs w:val="22"/>
        </w:rPr>
        <w:t xml:space="preserve">公司股票于2026年2月12日、2月13日及2月24日连续三个交易日出现价格涨跌幅偏离值达到相关标准的情形，公司就股票交易异常波动进行风险提示。该事项距离2026年9月12日较远，不属于近期最新公告。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亚星锚链（601890），上海证券交易所主板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10.25元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-0.13元，-1.25%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开盘10.34元，最高10.48元，最低10.00元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约1.2476亿股，约124.76万手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约12.74亿元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约13.00%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约98.3亿至99.6亿元，不同平台及收盘口径存在差异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动态PE约28至33倍，不同平台因盈利期、财报更新时点或计算口径不同而存在差异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约7.82至14.32元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52周高点约14.32元、低点7.82元；当前价较高点低约28.4%，较低点高约31.1%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股价短线快速反弹，但仍明显低于2026年3月高点，呈现短线急升、较长期仍处高点下方的特征。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2026年8月19日收盘8.37元，9月11日收盘10.25元，期间累计上涨约22.5%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近期涨幅较大，短线趋势偏强，但急升后波动和回撤风险上升。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基于截至2026年9月11日近20个交易日收盘价自行测算：MA5约9.80元、MA10约9.37元、MA20约9.01元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收盘价分别高于MA5、MA10和MA20约4.6%、9.4%和13.8%，短期均线呈多头排列。不同平台截至9月10日显示的均线数据存在差异，可能源于时点、复权方式及计算口径不同。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Investing截至2026年9月10日显示MACD（12,26）约0.37、信号为买入；大波浪数据显示近期MACD柱约+0.30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MACD处于正值区域，短线动能偏强；但快速拉升后若柱线收窄且股价跌破MA5，需关注动能边际减弱。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RSI6约93；RSI14约65至78，不同平台及刷新时点存在差异</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短线连续上涨后明显偏热，RSI14处于偏强至超买区间，技术形态并非弱势但追涨后的回撤风险上升。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基于截至2026年9月11日近20个交易日收盘价测算：中轨约9.01元、上轨约10.14元、下轨约7.88元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收盘价10.25元略高于布林上轨，反映趋势较强但也意味着短期波动率和回撤概率上升；布林带因连续放量上涨正在扩张。</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9月9日净流入约4.89亿元，9月10日净流出约1.66亿元，9月11日净流入约1630万元；9月9日至11日合计仍为净流入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高位资金流向波动较大，存在明显分歧；主力净额为大单、超大单成交结构统计，不等同于真实机构资金流向。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筹码成本模型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平均成本约9.69元，中位成本约10.00元，70%筹码成本区间约8.80至10.30元，获利盘比例约79.6%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上述数据为基于历史成交价和换手推算的模型结果，并非交易所直接披露的实时持仓成本，仅适合作为辅助观察。</w:t>
            </w:r>
          </w:p>
        </w:tc>
      </w:tr>
    </w:tbl>
    <w:p>
      <w:pPr>
        <w:spacing w:before="200"/>
      </w:pPr>
    </w:p>
    <w:p>
      <w:pPr>
        <w:spacing w:after="160" w:line="300"/>
      </w:pPr>
      <w:r>
        <w:rPr>
          <w:sz w:val="22"/>
          <w:szCs w:val="22"/>
        </w:rPr>
        <w:t xml:space="preserve">截至2026年9月11日，亚星锚链收盘10.25元，近期股价自8月19日以来上涨约22.5%，9月9日至10日连续放量上行，短期均线保持多头排列，MACD处于正值区域，技术趋势仍偏强。不过，收盘价已略高于自行测算的布林上轨，RSI6约93、RSI14约65至78，且9月10日主力资金净流出约1.66亿元、9月11日股价收跌，显示高位资金分歧和短线过热风险增加。后续重点在于10.00至10.20元支撑能否维持，以及10.48至10.50元上方能否获得成交量和板块共振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风险提示：以下内容仅为基于2026年9月11日收盘数据及历史技术指标的主观情景推演，不构成投资建议，也不构成对未来实际走势的确定性预测。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10.45~10.95元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依据9月11日最高价10.48元、9月10日盘中高点10.94元及近期成交密集区域。若有效放量突破10.95元，技术上可能打开向52周高点14元附近逐步修复的空间，但中间仍存在明显压力，不应直接视为目标价。</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10.00~10.20元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依据9月11日最低价10.00元、9月10日收盘价10.38元附近的换手区域及中位成本约10.00元。若在该区间缩量企稳，短线强势结构或仍可保持；若放量跌破10.00元，说明近期突破强度减弱。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9.60~9.85元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该区间接近9月10日盘中低点9.69元及快速拉升前后的换手区域。若跌破9.60元，下一观察区域可能下移至9.00~9.40元附近，接近MA20约9.01元及前期整理平台。</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主观约五成；属于基于当前技术面、成交量和资金流向的启发式权重，不是统计概率或收益预测）：参考价格带为9.95~10.70元。触发条件包括股价守住10.00元附近，成交额较9月10日明显回落但仍保持一定活跃度，MACD柱线未明显快速收窄，且船舶、海工或军工板块没有明显转弱。对应急涨后的消化走势，可能在10.00~10.50元附近反复震荡；若盘中突破10.48元但成交量未继续放大，仍可能冲高回落。</w:t>
      </w:r>
    </w:p>
    <w:p>
      <w:pPr>
        <w:pStyle w:val="ListParagraph"/>
        <w:numPr>
          <w:ilvl w:val="0"/>
          <w:numId w:val="2"/>
        </w:numPr>
        <w:spacing w:after="80" w:line="280"/>
      </w:pPr>
      <w:r>
        <w:rPr>
          <w:sz w:val="22"/>
          <w:szCs w:val="22"/>
        </w:rPr>
        <w:t xml:space="preserve">偏弱下行（权重中等，主观约三成；属于基于当前技术面、成交量和资金流向的启发式权重，不是统计概率或收益预测）：参考价格带为9.30~10.00元。触发条件包括放量跌破10.00元、主力资金连续多个交易日净流出、单日成交额保持在12亿元以上但股价收跌，或市场及船舶、军工板块同步回撤。若进一步跌破9.60元，短线结构可能由高位震荡转向回补涨幅，下方可观察9.30~9.40元附近的MA10及前期成交平台；若跌破9.30元，则进一步观察MA20约9.01元附近支撑。</w:t>
      </w:r>
    </w:p>
    <w:p>
      <w:pPr>
        <w:pStyle w:val="ListParagraph"/>
        <w:numPr>
          <w:ilvl w:val="0"/>
          <w:numId w:val="2"/>
        </w:numPr>
        <w:spacing w:after="80" w:line="280"/>
      </w:pPr>
      <w:r>
        <w:rPr>
          <w:sz w:val="22"/>
          <w:szCs w:val="22"/>
        </w:rPr>
        <w:t xml:space="preserve">反弹走强（权重偏低，主观约两成；属于基于当前技术面、成交量和资金流向的启发式权重，不是统计概率或收益预测）：参考价格带为10.50~11.10元。触发条件包括收盘价有效站上10.48~10.50元、成交额重新放大至15亿元以上、主力资金重新出现较明显净流入，以及相关板块同步走强或出现新的催化消息。若放量突破10.95元，短期趋势可能进一步向11.00~11.10元区域扩展；但由于RSI6约93，走强情景需要成交量和板块共振确认，单日脉冲上涨的持续性仍存在不确定性。</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13.00%，成交额约12.74亿元；近三日成交额约为13.36亿元、20.00亿元和12.74亿元，9月10日换手率达到20.42%。作为对照，2026年8月24日至9月3日多数交易日成交额约1.1至4.4亿元，近期成交活跃度明显提升。股东数据存在时滞：截至2026年6月30日股东户数约10.86万户，较2026年3月31日减少3701户、降幅约3.30%，但不能视为2026年9月实时筹码结构。截至2026年3月31日，十大流通股东合计持股约40.5%，其中实际控制人及关联自然人合计约36.1%；同时可见香港中央结算、富国中证智选船舶产业ETF及UBS AG等机构或金融账户，但机构持股占比不高，筹码主体仍以控股股东及关联自然人为主。大波浪口径将公募、金融机构等机构类股东合计持股列为约1.06%，但其对香港中央结算的分类方式存在差异，因此机构持股比例具有口径不确定性。实际含义是：当前股票并非低流动性状态，短线成交较为活跃，但高换手意味着筹码快速交换，价格对情绪和资金流向较为敏感；若成交额迅速萎缩，可能反映追涨资金减弱，若成交额维持高位但股价持续收跌，则需关注高位分歧或资金兑现。</w:t>
      </w:r>
    </w:p>
    <w:p>
      <w:pPr>
        <w:spacing w:after="160" w:line="300"/>
      </w:pPr>
      <w:r>
        <w:rPr>
          <w:sz w:val="22"/>
          <w:szCs w:val="22"/>
        </w:rPr>
        <w:t xml:space="preserve">可复核的量能观察信号是：若未来一周出现单日成交额连续达到或超过15亿元，同时收盘价站稳10.48~10.50元上方，可视为短线资金继续推动的较强确认信号；若成交额超过15亿元但收盘跌破10.00元，则更应理解为放量分歧或资金兑现信号，而非单纯的强势放量。</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观察10.00~10.20元第一支撑区能否保持，以及10.45~10.95元压力区的突破情况；上述为观察思路，非买卖指令。</w:t>
      </w:r>
    </w:p>
    <w:p>
      <w:pPr>
        <w:pStyle w:val="ListParagraph"/>
        <w:numPr>
          <w:ilvl w:val="0"/>
          <w:numId w:val="2"/>
        </w:numPr>
        <w:spacing w:after="80" w:line="280"/>
      </w:pPr>
      <w:r>
        <w:rPr>
          <w:sz w:val="22"/>
          <w:szCs w:val="22"/>
        </w:rPr>
        <w:t xml:space="preserve">观察股价高于MA5、MA10和MA20的强势状态能否延续，同时关注RSI6约93所反映的短线过热；上述为观察思路，非买卖指令。</w:t>
      </w:r>
    </w:p>
    <w:p>
      <w:pPr>
        <w:pStyle w:val="ListParagraph"/>
        <w:numPr>
          <w:ilvl w:val="0"/>
          <w:numId w:val="2"/>
        </w:numPr>
        <w:spacing w:after="80" w:line="280"/>
      </w:pPr>
      <w:r>
        <w:rPr>
          <w:sz w:val="22"/>
          <w:szCs w:val="22"/>
        </w:rPr>
        <w:t xml:space="preserve">观察9月10日主力净流出约1.66亿元后，后续主力资金是否重新出现连续净流入；主力净额仅为大单、超大单成交结构统计，上述为观察思路，非买卖指令。</w:t>
      </w:r>
    </w:p>
    <w:p>
      <w:pPr>
        <w:pStyle w:val="ListParagraph"/>
        <w:numPr>
          <w:ilvl w:val="0"/>
          <w:numId w:val="2"/>
        </w:numPr>
        <w:spacing w:after="80" w:line="280"/>
      </w:pPr>
      <w:r>
        <w:rPr>
          <w:sz w:val="22"/>
          <w:szCs w:val="22"/>
        </w:rPr>
        <w:t xml:space="preserve">观察成交额能否连续达到或超过15亿元并伴随收盘站稳10.48~10.50元，或在成交额超过15亿元时出现收盘跌破10.00元；上述为观察思路，非买卖指令。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主要服务船舶、海洋油气、海上风电和煤矿等行业。2024年中国造船业完工量、新接订单量和手持订单量按载重吨计分别占全球52.1%、69.0%和66.7%，为船用锚链提供较强基础需求，但锚链订单依附于新船建造计划，存在从船厂接单到实际交付的时间差；海洋系泊链需求更依赖海洋油气开发、浮式风电、海上平台维修及新项目投资，波动性通常高于普通船用锚链。</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行业整体呈现“少数大型企业+大量中小厂商”的结构，市场集中度高于一般金属加工行业。</w:t>
      </w:r>
    </w:p>
    <w:p>
      <w:pPr>
        <w:pStyle w:val="ListParagraph"/>
        <w:numPr>
          <w:ilvl w:val="0"/>
          <w:numId w:val="2"/>
        </w:numPr>
        <w:spacing w:after="80" w:line="280"/>
      </w:pPr>
      <w:r>
        <w:rPr>
          <w:sz w:val="22"/>
          <w:szCs w:val="22"/>
        </w:rPr>
        <w:t xml:space="preserve">行业进入壁垒包括大规格链条连续生产能力、钢材成分控制、焊接与锻造、热处理和疲劳试验能力、船级社认证、大型海洋工程项目供货业绩、长期安全运行记录，以及重件运输、码头和大型铸锻件配套能力。</w:t>
      </w:r>
    </w:p>
    <w:p>
      <w:pPr>
        <w:pStyle w:val="ListParagraph"/>
        <w:numPr>
          <w:ilvl w:val="0"/>
          <w:numId w:val="2"/>
        </w:numPr>
        <w:spacing w:after="80" w:line="280"/>
      </w:pPr>
      <w:r>
        <w:rPr>
          <w:sz w:val="22"/>
          <w:szCs w:val="22"/>
        </w:rPr>
        <w:t xml:space="preserve">亚星锚链具备美国船级社、德国劳氏船级社、法国船级社、挪威船级社等认证，技术中心为国家认定企业技术中心，并曾主导编制国际标准ISO 20438《船舶与海洋技术系泊链》。</w:t>
      </w:r>
    </w:p>
    <w:p>
      <w:pPr>
        <w:pStyle w:val="ListParagraph"/>
        <w:numPr>
          <w:ilvl w:val="0"/>
          <w:numId w:val="2"/>
        </w:numPr>
        <w:spacing w:after="80" w:line="280"/>
      </w:pPr>
      <w:r>
        <w:rPr>
          <w:sz w:val="22"/>
          <w:szCs w:val="22"/>
        </w:rPr>
        <w:t xml:space="preserve">公司年报披露目前可生产最大链径约为Φ220毫米，并已布局R5、R6等高强度海洋系泊链产品；部分高强度系泊链能力属于高端产品技术和工艺能力，不应等同于全部产能均可按最高等级满负荷生产。</w:t>
      </w:r>
    </w:p>
    <w:p>
      <w:pPr>
        <w:pStyle w:val="ListParagraph"/>
        <w:numPr>
          <w:ilvl w:val="0"/>
          <w:numId w:val="2"/>
        </w:numPr>
        <w:spacing w:after="80" w:line="280"/>
      </w:pPr>
      <w:r>
        <w:rPr>
          <w:sz w:val="22"/>
          <w:szCs w:val="22"/>
        </w:rPr>
        <w:t xml:space="preserve">公开资料列示的全球第一梯队锚链企业包括亚星锚链、正茂集团、淄博锚链、西班牙Vicinay、瑞典Ramnäs、日本Hamanaka和韩国大韩等；不同资料对全球市场份额的统计口径存在差异，公司“全球领先”“全球最大”等表述主要属于公司口径，具体份额尚需独立资料进一步核实。</w:t>
      </w:r>
    </w:p>
    <w:p>
      <w:pPr>
        <w:pStyle w:val="ListParagraph"/>
        <w:numPr>
          <w:ilvl w:val="0"/>
          <w:numId w:val="2"/>
        </w:numPr>
        <w:spacing w:after="80" w:line="280"/>
      </w:pPr>
      <w:r>
        <w:rPr>
          <w:sz w:val="22"/>
          <w:szCs w:val="22"/>
        </w:rPr>
        <w:t xml:space="preserve">公司官网披露的链条、锻打附件和铸造件产能，与2024年年报分产品产能存在统计口径差异，正式比较应优先采用年报的35万吨分产品产能口径。</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正茂集团有限公司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国内大型专业锚链和海洋系泊链企业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官网披露锚链和系泊链年产能约12万吨，覆盖U2、U3级锚链以及R3、R3S、R4、R4S、R5、R6级系泊链，是亚星锚链在国内较直接的竞争者之一。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Vicinay Marine / Vicinay Sestao</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欧洲传统高端海洋系泊链和连接器供应商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主要面向海洋油气和可再生能源项目，覆盖R3至R5等系泊链等级，强调系泊系统设计、链条和连接器整体供货，在深海油气、海洋工程和国际客户认证方面具有积累。</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Ramnäs Offshore AB</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偏重高可靠性和高端海洋油气应用的海洋链条制造商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产品包括海洋系泊链、船用锚链及配套附件，官网披露主要海洋系泊链生产范围约为76—165毫米，并获得主要船级社认可；亚星锚链在制造规模和成本方面可能更具优势。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Hamanaka Chain</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日本锚链和系泊链生产商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主要竞争优势在于日本船舶工业客户体系、产品质量控制和高端船用链市场积累，在日本及部分亚洲高端船舶供应链中具有一定影响力。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韩国大韩锚链（Dai Han Anchor Chain）</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依托韩国造船产业链的国际锚链制造商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产品覆盖船用锚链及海洋系泊链，竞争主要集中在船用锚链和中高端系泊链订单，在韩国船厂和亚洲船舶市场具有区域性优势。</w:t>
            </w:r>
          </w:p>
        </w:tc>
      </w:tr>
    </w:tbl>
    <w:p>
      <w:pPr>
        <w:spacing w:before="200"/>
      </w:pPr>
    </w:p>
    <w:p>
      <w:pPr>
        <w:spacing w:after="160" w:line="300"/>
      </w:pPr>
      <w:r>
        <w:rPr>
          <w:sz w:val="22"/>
          <w:szCs w:val="22"/>
        </w:rPr>
        <w:t xml:space="preserve">亚星锚链的竞争壁垒主要来自产能规模、大规格产品能力、船级社和国际客户认证、长期项目履历及质量控制体系，而非单纯依赖低成本。与正茂集团相比，公司制造规模和海外业务基础更突出；与Vicinay、Ramnäs等欧洲高端供应商相比，公司在制造规模和成本方面可能更具优势，但国际高端项目品牌和历史积累仍是竞争维度；与Hamanaka及韩国大韩相比，公司受益于中国造船产业链规模和成本竞争力。上述可比企业多数为非A股上市公司，公开财务数据有限，比较重点应放在产能、产品等级、认证、客户结构和区域市场，不宜直接进行市盈率或利润规模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深远海大型浮体关键系泊装备项目总投资已由不超过3亿元增加至6.5亿元，但公司尚未提供明确量产时间表和收益承诺；项目可能面临市场需求、投资进度、土地及建设成本和未来经营情况等不确定性，存在投资回报低于预期的风险。</w:t>
      </w:r>
    </w:p>
    <w:p>
      <w:pPr>
        <w:pStyle w:val="ListParagraph"/>
        <w:numPr>
          <w:ilvl w:val="0"/>
          <w:numId w:val="2"/>
        </w:numPr>
        <w:spacing w:after="80" w:line="280"/>
      </w:pPr>
      <w:r>
        <w:rPr>
          <w:sz w:val="22"/>
          <w:szCs w:val="22"/>
        </w:rPr>
        <w:t xml:space="preserve">2026年上半年经营活动现金流净额为-2.90亿元，而上年同期为0.51亿元，主要与应收账款、存货及备货投入等营运资金占用有关；若订单增长继续依赖资金投入，可能对公司现金周转和项目投资能力形成压力。</w:t>
      </w:r>
    </w:p>
    <w:p>
      <w:pPr>
        <w:pStyle w:val="ListParagraph"/>
        <w:numPr>
          <w:ilvl w:val="0"/>
          <w:numId w:val="2"/>
        </w:numPr>
        <w:spacing w:after="80" w:line="280"/>
      </w:pPr>
      <w:r>
        <w:rPr>
          <w:sz w:val="22"/>
          <w:szCs w:val="22"/>
        </w:rPr>
        <w:t xml:space="preserve">公司对特殊钢材价格较为敏感，原材料约占船舶相关成本74.33%、海工相关成本77.22%；若钢材、能源或海运费用上涨，且公司无法及时将成本变化传导至船厂、海工项目及海外客户，船用锚链和系泊链毛利率可能承压。</w:t>
      </w:r>
    </w:p>
    <w:p>
      <w:pPr>
        <w:pStyle w:val="ListParagraph"/>
        <w:numPr>
          <w:ilvl w:val="0"/>
          <w:numId w:val="2"/>
        </w:numPr>
        <w:spacing w:after="80" w:line="280"/>
      </w:pPr>
      <w:r>
        <w:rPr>
          <w:sz w:val="22"/>
          <w:szCs w:val="22"/>
        </w:rPr>
        <w:t xml:space="preserve">船用锚链仍是公司收入主体，2025年收入约14.40亿元，占比高于系泊链；若船厂采购、船舶交付节奏或新船订单向实际锚链交付的转化放缓，船用锚链业务可能限制整体收入增速。</w:t>
      </w:r>
    </w:p>
    <w:p>
      <w:pPr>
        <w:pStyle w:val="ListParagraph"/>
        <w:numPr>
          <w:ilvl w:val="0"/>
          <w:numId w:val="2"/>
        </w:numPr>
        <w:spacing w:after="80" w:line="280"/>
      </w:pPr>
      <w:r>
        <w:rPr>
          <w:sz w:val="22"/>
          <w:szCs w:val="22"/>
        </w:rPr>
        <w:t xml:space="preserve">系泊链需求依赖海洋油气开发、海上风电及海洋工程项目投资，漂浮式海上风电和深远海项目存在审批、建设及落地节奏不确定性；若相关项目延期，R5/R6及高端系泊链产能和订单转化可能不及预期。</w:t>
      </w:r>
    </w:p>
    <w:p>
      <w:pPr>
        <w:pStyle w:val="ListParagraph"/>
        <w:numPr>
          <w:ilvl w:val="0"/>
          <w:numId w:val="2"/>
        </w:numPr>
        <w:spacing w:after="80" w:line="280"/>
      </w:pPr>
      <w:r>
        <w:rPr>
          <w:sz w:val="22"/>
          <w:szCs w:val="22"/>
        </w:rPr>
        <w:t xml:space="preserve">2026年上半年归母净利润同比增速为33.37%，高于扣非归母净利润17.60%的增速，投资收益、公允价值变动等非经常性损益对利润增长有一定影响；若非经常性收益减少，业绩增速可能低于归母净利润表观增速。</w:t>
      </w:r>
    </w:p>
    <w:p>
      <w:pPr>
        <w:pStyle w:val="ListParagraph"/>
        <w:numPr>
          <w:ilvl w:val="0"/>
          <w:numId w:val="2"/>
        </w:numPr>
        <w:spacing w:after="80" w:line="280"/>
      </w:pPr>
      <w:r>
        <w:rPr>
          <w:sz w:val="22"/>
          <w:szCs w:val="22"/>
        </w:rPr>
        <w:t xml:space="preserve">截至2026年9月11日股价较8月19日上涨约22.5%，RSI6约93、股价略高于布林上轨，且近期高换手和主力资金流向出现分歧；若成交额维持高位但股价跌破10.00元，短期可能出现较大波动和回撤。</w:t>
      </w:r>
    </w:p>
    <w:p>
      <w:pPr>
        <w:pStyle w:val="ListParagraph"/>
        <w:numPr>
          <w:ilvl w:val="0"/>
          <w:numId w:val="2"/>
        </w:numPr>
        <w:spacing w:after="80" w:line="280"/>
      </w:pPr>
      <w:r>
        <w:rPr>
          <w:sz w:val="22"/>
          <w:szCs w:val="22"/>
        </w:rPr>
        <w:t xml:space="preserve">公司当前动态市盈率约28至33倍，机构盈利预测仅来自平安证券和浙商证券两家，且不同机构对2028年收入和归母净利润预测存在差异；若系泊链订单、项目进度或利润率不及预测，估值可能面临重新评估。</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亚星锚链的增长逻辑主要来自三方面：船舶建造需求为船用锚链提供基础订单，海洋油气、海上风电及其他海洋工程项目推动系泊链需求，高强度R5/R6系泊链、深远海浮体关键系泊装备和大型海工连接件则有望改善产品结构。公司在产能规模、认证体系、大规格产品和项目履历方面具备竞争基础，近期系泊链订单及收入增速也高于船用锚链，产品升级方向较为明确。</w:t>
      </w:r>
    </w:p>
    <w:p>
      <w:pPr>
        <w:spacing w:after="160" w:line="300"/>
      </w:pPr>
      <w:r>
        <w:rPr>
          <w:sz w:val="22"/>
          <w:szCs w:val="22"/>
        </w:rPr>
        <w:t xml:space="preserve">后续业绩能否延续，取决于系泊链和深远海装备项目的订单转化、项目建设与量产进度，以及船用锚链业务的需求和毛利率表现。公司仍处于特殊钢材加工产业链中游，原材料约占相关业务成本的74%至77%，钢材、能源及海运费用变化和订单价格传导能力将影响盈利水平；同时，2026年上半年经营现金流转负、营运资金占用上升，需要观察收入增长能否转化为回款和现金流改善。</w:t>
      </w:r>
    </w:p>
    <w:p>
      <w:pPr>
        <w:spacing w:after="160" w:line="300"/>
      </w:pPr>
      <w:r>
        <w:rPr>
          <w:sz w:val="22"/>
          <w:szCs w:val="22"/>
        </w:rPr>
        <w:t xml:space="preserve">当前股价经历较快反弹，成交活跃但高换手伴随资金分歧，10.00至10.20元为短期重要观察区间，10.45至10.95元附近存在压力，技术指标对短期走势的解释仍具有滞后性。公司估值不属于低估值水平，且盈利预测覆盖范围有限，因此后续应重点跟踪订单兑现、系泊链盈利能力、深远海项目投资回报、经营现金流及估值消化情况，而不宜仅依据短期利润增速或技术走势判断长期表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亚星锚链(601890)_上市公告明细_江苏亚星锚链股份有限公司首次公开发行A股股票上市公告书新浪财经_新浪网 — https://money.finance.sina.com.cn/corp/view/vISSUE_MarketBulletinDetail.php?id=643957&amp;stockid=601890&amp;utm_source=openai</w:t>
      </w:r>
    </w:p>
    <w:p>
      <w:pPr>
        <w:spacing w:after="200"/>
      </w:pPr>
      <w:r>
        <w:rPr>
          <w:i/>
          <w:iCs/>
          <w:color w:val="595959"/>
          <w:sz w:val="18"/>
          <w:szCs w:val="18"/>
        </w:rPr>
        <w:t xml:space="preserve">亚星锚链(601890)_公司公告_亚星锚链：2024年年度报告新浪财经_新浪网 — https://money.finance.sina.com.cn/corp/view/vCB_AllBulletinDetail.php?id=11034321&amp;stockid=601890&amp;utm_source=openai</w:t>
      </w:r>
    </w:p>
    <w:p>
      <w:pPr>
        <w:spacing w:after="200"/>
      </w:pPr>
      <w:r>
        <w:rPr>
          <w:i/>
          <w:iCs/>
          <w:color w:val="595959"/>
          <w:sz w:val="18"/>
          <w:szCs w:val="18"/>
        </w:rPr>
        <w:t xml:space="preserve">https://www.anchor-chain.com/about.php?utm_source=openai — https://www.anchor-chain.com/about.php?utm_source=openai</w:t>
      </w:r>
    </w:p>
    <w:p>
      <w:pPr>
        <w:spacing w:after="200"/>
      </w:pPr>
      <w:r>
        <w:rPr>
          <w:i/>
          <w:iCs/>
          <w:color w:val="595959"/>
          <w:sz w:val="18"/>
          <w:szCs w:val="18"/>
        </w:rPr>
        <w:t xml:space="preserve">亚星锚链(601890)_公司公告_亚星锚链：2024年年度报告新浪财经_新浪网 — https://vip.stock.finance.sina.com.cn/corp/view/vCB_AllBulletinDetail.php?id=11034321&amp;stockid=601890&amp;utm_source=openai</w:t>
      </w:r>
    </w:p>
    <w:p>
      <w:pPr>
        <w:spacing w:after="200"/>
      </w:pPr>
      <w:r>
        <w:rPr>
          <w:i/>
          <w:iCs/>
          <w:color w:val="595959"/>
          <w:sz w:val="18"/>
          <w:szCs w:val="18"/>
        </w:rPr>
        <w:t xml:space="preserve">江苏亚星锚链股份有限公司2024 年年度报告 — https://www.100est.com/res/financial-report/r2024/SH601890_202504281663947235.pdf?utm_source=openai</w:t>
      </w:r>
    </w:p>
    <w:p>
      <w:pPr>
        <w:spacing w:after="200"/>
      </w:pPr>
      <w:r>
        <w:rPr>
          <w:i/>
          <w:iCs/>
          <w:color w:val="595959"/>
          <w:sz w:val="18"/>
          <w:szCs w:val="18"/>
        </w:rPr>
        <w:t xml:space="preserve">鹰眼预警：亚星锚链应收账款增速高于营业收入增速|现金流_新浪财经_新浪网 — https://finance.sina.com.cn/stock/yyyj/2025-04-29/doc-ineutywk4863459.shtml?utm_source=openai</w:t>
      </w:r>
    </w:p>
    <w:p>
      <w:pPr>
        <w:spacing w:after="200"/>
      </w:pPr>
      <w:r>
        <w:rPr>
          <w:i/>
          <w:iCs/>
          <w:color w:val="595959"/>
          <w:sz w:val="18"/>
          <w:szCs w:val="18"/>
        </w:rPr>
        <w:t xml:space="preserve">亚星锚链 年报 — https://readhub.cn/finance/edd2d9e5b52d524c?utm_source=openai</w:t>
      </w:r>
    </w:p>
    <w:p>
      <w:pPr>
        <w:spacing w:after="200"/>
      </w:pPr>
      <w:r>
        <w:rPr>
          <w:i/>
          <w:iCs/>
          <w:color w:val="595959"/>
          <w:sz w:val="18"/>
          <w:szCs w:val="18"/>
        </w:rPr>
        <w:t xml:space="preserve">亚星锚链(601890)_公司公告_亚星锚链：2023年年度报告新浪财经_新浪网 — https://money.finance.sina.com.cn/corp/view/vCB_AllBulletinDetail.php?id=10027788&amp;stockid=601890&amp;utm_source=openai</w:t>
      </w:r>
    </w:p>
    <w:p>
      <w:pPr>
        <w:spacing w:after="200"/>
      </w:pPr>
      <w:r>
        <w:rPr>
          <w:i/>
          <w:iCs/>
          <w:color w:val="595959"/>
          <w:sz w:val="18"/>
          <w:szCs w:val="18"/>
        </w:rPr>
        <w:t xml:space="preserve">亚星锚链(601890)_公司公告_亚星锚链：2024年年度股东大会会议资料新浪财经_新浪网 — https://money.finance.sina.com.cn/corp/view/vCB_AllBulletinDetail.php?id=11116051&amp;stockid=601890&amp;utm_source=openai</w:t>
      </w:r>
    </w:p>
    <w:p>
      <w:pPr>
        <w:spacing w:after="200"/>
      </w:pPr>
      <w:r>
        <w:rPr>
          <w:i/>
          <w:iCs/>
          <w:color w:val="595959"/>
          <w:sz w:val="18"/>
          <w:szCs w:val="18"/>
        </w:rPr>
        <w:t xml:space="preserve">【方正传媒·报告类型】公司简称（代码） 报告标题 — https://pdf.dfcfw.com/pdf/H3_AP202312051613285986_1.pdf?utm_source=openai</w:t>
      </w:r>
    </w:p>
    <w:p>
      <w:pPr>
        <w:spacing w:after="200"/>
      </w:pPr>
      <w:r>
        <w:rPr>
          <w:i/>
          <w:iCs/>
          <w:color w:val="595959"/>
          <w:sz w:val="18"/>
          <w:szCs w:val="18"/>
        </w:rPr>
        <w:t xml:space="preserve">高品质系泊链和船舶锚 - 正茂 — https://cn.zmanchorchain.com/?utm_source=openai</w:t>
      </w:r>
    </w:p>
    <w:p>
      <w:pPr>
        <w:spacing w:after="200"/>
      </w:pPr>
      <w:r>
        <w:rPr>
          <w:i/>
          <w:iCs/>
          <w:color w:val="595959"/>
          <w:sz w:val="18"/>
          <w:szCs w:val="18"/>
        </w:rPr>
        <w:t xml:space="preserve">Vicinay Marine | LinkedIn — https://www.linkedin.com/company/vicinay-marine?utm_source=openai</w:t>
      </w:r>
    </w:p>
    <w:p>
      <w:pPr>
        <w:spacing w:after="200"/>
      </w:pPr>
      <w:r>
        <w:rPr>
          <w:i/>
          <w:iCs/>
          <w:color w:val="595959"/>
          <w:sz w:val="18"/>
          <w:szCs w:val="18"/>
        </w:rPr>
        <w:t xml:space="preserve">Worldwide Top Quality Mooring Chain for Offshore oil industry, fish- and wind farms. - Ramnäs Offshore AB — https://ramnas.com/?utm_source=openai</w:t>
      </w:r>
    </w:p>
    <w:p>
      <w:pPr>
        <w:spacing w:after="200"/>
      </w:pPr>
      <w:r>
        <w:rPr>
          <w:i/>
          <w:iCs/>
          <w:color w:val="595959"/>
          <w:sz w:val="18"/>
          <w:szCs w:val="18"/>
        </w:rPr>
        <w:t xml:space="preserve">江苏亚星锚链股份有限公司 — https://qccdata.qichacha.com/ReportData/PDF/12cc361a467ec213ad033a8e0703b45a.pdf?utm_source=openai</w:t>
      </w:r>
    </w:p>
    <w:p>
      <w:pPr>
        <w:spacing w:after="200"/>
      </w:pPr>
      <w:r>
        <w:rPr>
          <w:i/>
          <w:iCs/>
          <w:color w:val="595959"/>
          <w:sz w:val="18"/>
          <w:szCs w:val="18"/>
        </w:rPr>
        <w:t xml:space="preserve">亚星锚链(601890)_公司公告_亚星锚链：2025年年度报告新浪财经_新浪网 — https://money.finance.sina.com.cn/corp/view/vCB_AllBulletinDetail.php?id=12216300&amp;stockid=601890</w:t>
      </w:r>
    </w:p>
    <w:p>
      <w:pPr>
        <w:spacing w:after="200"/>
      </w:pPr>
      <w:r>
        <w:rPr>
          <w:i/>
          <w:iCs/>
          <w:color w:val="595959"/>
          <w:sz w:val="18"/>
          <w:szCs w:val="18"/>
        </w:rPr>
        <w:t xml:space="preserve">亚星锚链(601890)_公司公告_亚星锚链：2026年半年度报告摘要新浪财经_新浪网 — https://money.finance.sina.com.cn/corp/view/vCB_AllBulletinDetail.php?id=12524779&amp;stockid=601890&amp;utm_source=openai</w:t>
      </w:r>
    </w:p>
    <w:p>
      <w:pPr>
        <w:spacing w:after="200"/>
      </w:pPr>
      <w:r>
        <w:rPr>
          <w:i/>
          <w:iCs/>
          <w:color w:val="595959"/>
          <w:sz w:val="18"/>
          <w:szCs w:val="18"/>
        </w:rPr>
        <w:t xml:space="preserve">亚星锚链(601890) 盈利预测_F10_同花顺金融服务网 — https://basic.10jqka.com.cn/601890/worth.html</w:t>
      </w:r>
    </w:p>
    <w:p>
      <w:pPr>
        <w:spacing w:after="200"/>
      </w:pPr>
      <w:r>
        <w:rPr>
          <w:i/>
          <w:iCs/>
          <w:color w:val="595959"/>
          <w:sz w:val="18"/>
          <w:szCs w:val="18"/>
        </w:rPr>
        <w:t xml:space="preserve">亚星锚链(601890)_公司公告_亚星锚链：2026年半年度报告新浪财经_新浪网 — https://money.finance.sina.com.cn/corp/view/vCB_AllBulletinDetail.php?id=12524780&amp;stockid=601890&amp;utm_source=openai</w:t>
      </w:r>
    </w:p>
    <w:p>
      <w:pPr>
        <w:spacing w:after="200"/>
      </w:pPr>
      <w:r>
        <w:rPr>
          <w:i/>
          <w:iCs/>
          <w:color w:val="595959"/>
          <w:sz w:val="18"/>
          <w:szCs w:val="18"/>
        </w:rPr>
        <w:t xml:space="preserve">机构评级|平安证券给予亚星锚链“推荐”评级 未给出目标价 — https://news.10jqka.com.cn/20260825/c679266919.shtml</w:t>
      </w:r>
    </w:p>
    <w:p>
      <w:pPr>
        <w:spacing w:after="200"/>
      </w:pPr>
      <w:r>
        <w:rPr>
          <w:i/>
          <w:iCs/>
          <w:color w:val="595959"/>
          <w:sz w:val="18"/>
          <w:szCs w:val="18"/>
        </w:rPr>
        <w:t xml:space="preserve">机构评级|平安证券给予亚星锚链“推荐”评级 未给出目标价 — https://u.95579.com.cn/cjscweb/web/app/informationDetail.html?i_info_lsh=MGFiMTIyNmU4NzVhZTZlOTk0NDc2ODMwN2EzODU1MWU%3D&amp;i_type=esinfo&amp;utm_source=openai</w:t>
      </w:r>
    </w:p>
    <w:p>
      <w:pPr>
        <w:spacing w:after="200"/>
      </w:pPr>
      <w:r>
        <w:rPr>
          <w:i/>
          <w:iCs/>
          <w:color w:val="595959"/>
          <w:sz w:val="18"/>
          <w:szCs w:val="18"/>
        </w:rPr>
        <w:t xml:space="preserve">亚星锚链(601890)股票信息 - 数据平台 — https://data.agoer.com/cms/Index/detail?id=601890&amp;utm_source=openai</w:t>
      </w:r>
    </w:p>
    <w:p>
      <w:pPr>
        <w:spacing w:after="200"/>
      </w:pPr>
      <w:r>
        <w:rPr>
          <w:i/>
          <w:iCs/>
          <w:color w:val="595959"/>
          <w:sz w:val="18"/>
          <w:szCs w:val="18"/>
        </w:rPr>
        <w:t xml:space="preserve">亚星锚链(601890) 最新动态_F10_同花顺金融服务网 — https://basic.10jqka.com.cn/601890/?utm_source=openai</w:t>
      </w:r>
    </w:p>
    <w:p>
      <w:pPr>
        <w:spacing w:after="200"/>
      </w:pPr>
      <w:r>
        <w:rPr>
          <w:i/>
          <w:iCs/>
          <w:color w:val="595959"/>
          <w:sz w:val="18"/>
          <w:szCs w:val="18"/>
        </w:rPr>
        <w:t xml:space="preserve">江苏亚星锚链股份有限公司2026年半年度报告摘要 — https://static.cninfo.com.cn/finalpage/2026-08-25/1225497422.PDF?utm_source=openai</w:t>
      </w:r>
    </w:p>
    <w:p>
      <w:pPr>
        <w:spacing w:after="200"/>
      </w:pPr>
      <w:r>
        <w:rPr>
          <w:i/>
          <w:iCs/>
          <w:color w:val="595959"/>
          <w:sz w:val="18"/>
          <w:szCs w:val="18"/>
        </w:rPr>
        <w:t xml:space="preserve">亚星锚链(601890) 公司大事_F10_同花顺金融服务网 — https://basic.10jqka.com.cn/601890/event.html?utm_source=openai</w:t>
      </w:r>
    </w:p>
    <w:p>
      <w:pPr>
        <w:spacing w:after="200"/>
      </w:pPr>
      <w:r>
        <w:rPr>
          <w:i/>
          <w:iCs/>
          <w:color w:val="595959"/>
          <w:sz w:val="18"/>
          <w:szCs w:val="18"/>
        </w:rPr>
        <w:t xml:space="preserve">亚星锚链_ 个股日历 _ 东方财富网_ 数据频道 — https://data.eastmoney.com/stockcalendar/601890.html?utm_source=openai</w:t>
      </w:r>
    </w:p>
    <w:p>
      <w:pPr>
        <w:spacing w:after="200"/>
      </w:pPr>
      <w:r>
        <w:rPr>
          <w:i/>
          <w:iCs/>
          <w:color w:val="595959"/>
          <w:sz w:val="18"/>
          <w:szCs w:val="18"/>
        </w:rPr>
        <w:t xml:space="preserve">证券代码：601890 — https://dataclouds.cninfo.com.cn/shgonggao/hsomarket/2026/20260427/35244acae5fe47459060dbbb036e468d.PDF?utm_source=openai</w:t>
      </w:r>
    </w:p>
    <w:p>
      <w:pPr>
        <w:spacing w:after="200"/>
      </w:pPr>
      <w:r>
        <w:rPr>
          <w:i/>
          <w:iCs/>
          <w:color w:val="595959"/>
          <w:sz w:val="18"/>
          <w:szCs w:val="18"/>
        </w:rPr>
        <w:t xml:space="preserve">公司公告_亚星锚链：关于拟向深远海大型浮体关键系泊装备和集成系统研发及产业化项目增加投资的公告新浪财经_新浪网 — https://vip.stock.finance.sina.com.cn/corp/view/vCB_AllBulletinDetail.php?id=12216303&amp;utm_source=openai</w:t>
      </w:r>
    </w:p>
    <w:p>
      <w:pPr>
        <w:spacing w:after="200"/>
      </w:pPr>
      <w:r>
        <w:rPr>
          <w:i/>
          <w:iCs/>
          <w:color w:val="595959"/>
          <w:sz w:val="18"/>
          <w:szCs w:val="18"/>
        </w:rPr>
        <w:t xml:space="preserve">​亚星锚链成立科技新公司，含海洋工程装备业务_新浪财经_新浪网 — https://finance.sina.com.cn/jjxw/2026-07-10/doc-inihhrah3919872.shtml?utm_source=openai</w:t>
      </w:r>
    </w:p>
    <w:p>
      <w:pPr>
        <w:spacing w:after="200"/>
      </w:pPr>
      <w:r>
        <w:rPr>
          <w:i/>
          <w:iCs/>
          <w:color w:val="595959"/>
          <w:sz w:val="18"/>
          <w:szCs w:val="18"/>
        </w:rPr>
        <w:t xml:space="preserve">证券代码：601890 — https://big5.sse.com.cn/site/cht/www.sse.com.cn/disclosure/listedinfo/announcement/c/new/2026-05-30/601890_20260530_KPZ7.pdf?utm_source=openai</w:t>
      </w:r>
    </w:p>
    <w:p>
      <w:pPr>
        <w:spacing w:after="200"/>
      </w:pPr>
      <w:r>
        <w:rPr>
          <w:i/>
          <w:iCs/>
          <w:color w:val="595959"/>
          <w:sz w:val="18"/>
          <w:szCs w:val="18"/>
        </w:rPr>
        <w:t xml:space="preserve">亚星锚链十大流通股东格局生变：刘斌新进，瑞银集团退出，富国中证智选船舶产业ETF增持，北向资金减持_新浪财经_新浪网 — https://finance.sina.com.cn/stock/aiassist/sdltgdbh/2026-08-25/doc-inipnyqs9733270.shtml?utm_source=openai</w:t>
      </w:r>
    </w:p>
    <w:p>
      <w:pPr>
        <w:spacing w:after="200"/>
      </w:pPr>
      <w:r>
        <w:rPr>
          <w:i/>
          <w:iCs/>
          <w:color w:val="595959"/>
          <w:sz w:val="18"/>
          <w:szCs w:val="18"/>
        </w:rPr>
        <w:t xml:space="preserve">证券代码：601890 — https://big5.sse.com.cn/site/cht/www.sse.com.cn/disclosure/listedinfo/announcement/c/new/2026-02-25/601890_20260225_BQ5J.pdf?utm_source=openai</w:t>
      </w:r>
    </w:p>
    <w:p>
      <w:pPr>
        <w:spacing w:after="200"/>
      </w:pPr>
      <w:r>
        <w:rPr>
          <w:i/>
          <w:iCs/>
          <w:color w:val="595959"/>
          <w:sz w:val="18"/>
          <w:szCs w:val="18"/>
        </w:rPr>
        <w:t xml:space="preserve">亚星锚链: 亚星锚链关于召开2026年半年度业绩说明会的公告_公司公告_每日必读_股票_证券之星 — https://wap.stockstar.com/detail/SN2026082600000325?utm_source=openai</w:t>
      </w:r>
    </w:p>
    <w:p>
      <w:pPr>
        <w:spacing w:after="200"/>
      </w:pPr>
      <w:r>
        <w:rPr>
          <w:i/>
          <w:iCs/>
          <w:color w:val="595959"/>
          <w:sz w:val="18"/>
          <w:szCs w:val="18"/>
        </w:rPr>
        <w:t xml:space="preserve">亚星锚链：2026年上半年净利润同比增长33.37% 拟10派0.5元 _ 东方财富网 — https://wap.eastmoney.com/a/202608253852457166.html?utm_source=openai</w:t>
      </w:r>
    </w:p>
    <w:p>
      <w:pPr>
        <w:spacing w:after="200"/>
      </w:pPr>
      <w:r>
        <w:rPr>
          <w:i/>
          <w:iCs/>
          <w:color w:val="595959"/>
          <w:sz w:val="18"/>
          <w:szCs w:val="18"/>
        </w:rPr>
        <w:t xml:space="preserve">亚星锚链(601890)股票历史数据:历史行情,价格,走势图表_英为财情Investing.com — https://cn.investing.com/equities/asian-star-historical-data</w:t>
      </w:r>
    </w:p>
    <w:p>
      <w:pPr>
        <w:spacing w:after="200"/>
      </w:pPr>
      <w:r>
        <w:rPr>
          <w:i/>
          <w:iCs/>
          <w:color w:val="595959"/>
          <w:sz w:val="18"/>
          <w:szCs w:val="18"/>
        </w:rPr>
        <w:t xml:space="preserve">亞星錨鏈(601890.SS) 走勢圖 - Yahoo股市 — https://tw.stock.yahoo.com/quote/601890.SS?utm_source=openai</w:t>
      </w:r>
    </w:p>
    <w:p>
      <w:pPr>
        <w:spacing w:after="200"/>
      </w:pPr>
      <w:r>
        <w:rPr>
          <w:i/>
          <w:iCs/>
          <w:color w:val="595959"/>
          <w:sz w:val="18"/>
          <w:szCs w:val="18"/>
        </w:rPr>
        <w:t xml:space="preserve">亚星锚链(601890)股票最新价格行情,实时走势图,股价分析预测_英为财情Investing.com — https://cn.investing.com/equities/asian-star?utm_source=openai</w:t>
      </w:r>
    </w:p>
    <w:p>
      <w:pPr>
        <w:spacing w:after="200"/>
      </w:pPr>
      <w:r>
        <w:rPr>
          <w:i/>
          <w:iCs/>
          <w:color w:val="595959"/>
          <w:sz w:val="18"/>
          <w:szCs w:val="18"/>
        </w:rPr>
        <w:t xml:space="preserve">亚星锚链(601890.SH) 股票行情_历史数据_主力资金 - 大波浪数据 — https://www.yyqyx.com/s/601890.SH</w:t>
      </w:r>
    </w:p>
    <w:p>
      <w:pPr>
        <w:spacing w:after="200"/>
      </w:pPr>
      <w:r>
        <w:rPr>
          <w:i/>
          <w:iCs/>
          <w:color w:val="595959"/>
          <w:sz w:val="18"/>
          <w:szCs w:val="18"/>
        </w:rPr>
        <w:t xml:space="preserve">亚星锚链(601890)股票行情走势技术分析_未来预测_买卖操作建议_英为财情Investing.com — https://cn.investing.com/equities/asian-star-technical</w:t>
      </w:r>
    </w:p>
    <w:p>
      <w:pPr>
        <w:spacing w:after="200"/>
      </w:pPr>
      <w:r>
        <w:rPr>
          <w:i/>
          <w:iCs/>
          <w:color w:val="595959"/>
          <w:sz w:val="18"/>
          <w:szCs w:val="18"/>
        </w:rPr>
        <w:t xml:space="preserve">亚星锚链(601890.SH) 股票行情_历史数据_主力资金 - 大波浪数据 — https://www.yyqyx.com/s/601890.SH?utm_source=openai</w:t>
      </w:r>
    </w:p>
    <w:p>
      <w:pPr>
        <w:spacing w:after="200"/>
      </w:pPr>
      <w:r>
        <w:rPr>
          <w:i/>
          <w:iCs/>
          <w:color w:val="595959"/>
          <w:sz w:val="18"/>
          <w:szCs w:val="18"/>
        </w:rPr>
        <w:t xml:space="preserve">亚星锚链 (601890) - 历史交易数据 | 打板客网 — https://dabanke.com/hangqing-601890.html?utm_source=openai</w:t>
      </w:r>
    </w:p>
    <w:p>
      <w:pPr>
        <w:spacing w:after="200"/>
      </w:pPr>
      <w:r>
        <w:rPr>
          <w:i/>
          <w:iCs/>
          <w:color w:val="595959"/>
          <w:sz w:val="18"/>
          <w:szCs w:val="18"/>
        </w:rPr>
        <w:t xml:space="preserve">本报告由AI基于公开渠道信息自动检索、整理并生成，信息截至 价格及行情数据截至2026年9月11日收盘；部分技术指标平台数据截至2026年9月10日或存在刷新滞后，股东数据截至2026年6月30日或2026年3月31日，具体已在相关项目中标注。，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2026-09-13T12:20:05.321Z</dcterms:created>
  <dcterms:modified xsi:type="dcterms:W3CDTF">2026-09-13T12:20:05.321Z</dcterms:modified>
</cp:coreProperties>
</file>

<file path=docProps/custom.xml><?xml version="1.0" encoding="utf-8"?>
<Properties xmlns="http://schemas.openxmlformats.org/officeDocument/2006/custom-properties" xmlns:vt="http://schemas.openxmlformats.org/officeDocument/2006/docPropsVTypes"/>
</file>